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F57" w:rsidRDefault="00981F57" w:rsidP="00981F57">
      <w:pPr>
        <w:suppressLineNumbers/>
      </w:pPr>
      <w:bookmarkStart w:id="0" w:name="_GoBack"/>
      <w:bookmarkEnd w:id="0"/>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81F57" w:rsidTr="00981F57">
        <w:trPr>
          <w:jc w:val="center"/>
        </w:trPr>
        <w:tc>
          <w:tcPr>
            <w:tcW w:w="743" w:type="dxa"/>
            <w:hideMark/>
          </w:tcPr>
          <w:p w:rsidR="00981F57" w:rsidRDefault="00981F57">
            <w:pPr>
              <w:suppressLineNumbers/>
              <w:jc w:val="both"/>
              <w:rPr>
                <w:rFonts w:ascii="Arial" w:hAnsi="Arial"/>
                <w:b/>
                <w:bCs/>
                <w:sz w:val="26"/>
                <w:szCs w:val="26"/>
                <w:rtl/>
              </w:rPr>
            </w:pPr>
          </w:p>
          <w:p w:rsidR="00981F57" w:rsidRDefault="00981F57">
            <w:pPr>
              <w:suppressLineNumbers/>
              <w:jc w:val="both"/>
              <w:rPr>
                <w:rFonts w:ascii="Arial" w:hAnsi="Arial"/>
                <w:b/>
                <w:bCs/>
                <w:sz w:val="26"/>
                <w:szCs w:val="26"/>
                <w:rtl/>
              </w:rPr>
            </w:pPr>
          </w:p>
          <w:p w:rsidR="00981F57" w:rsidRDefault="00981F57">
            <w:pPr>
              <w:suppressLineNumbers/>
              <w:jc w:val="both"/>
              <w:rPr>
                <w:rFonts w:ascii="Arial" w:hAnsi="Arial"/>
                <w:b/>
                <w:bCs/>
                <w:sz w:val="26"/>
                <w:szCs w:val="26"/>
                <w:rtl/>
              </w:rPr>
            </w:pPr>
          </w:p>
          <w:p w:rsidR="00981F57" w:rsidRDefault="00981F57">
            <w:pPr>
              <w:suppressLineNumbers/>
              <w:jc w:val="both"/>
              <w:rPr>
                <w:rFonts w:ascii="Arial" w:hAnsi="Arial"/>
                <w:b/>
                <w:bCs/>
                <w:sz w:val="26"/>
                <w:szCs w:val="26"/>
                <w:rtl/>
              </w:rPr>
            </w:pPr>
          </w:p>
          <w:p w:rsidR="00981F57" w:rsidRDefault="00981F57">
            <w:pPr>
              <w:suppressLineNumbers/>
              <w:jc w:val="both"/>
              <w:rPr>
                <w:rFonts w:ascii="Arial" w:hAnsi="Arial"/>
                <w:b/>
                <w:bCs/>
                <w:sz w:val="26"/>
                <w:szCs w:val="26"/>
                <w:rtl/>
              </w:rPr>
            </w:pPr>
          </w:p>
          <w:p w:rsidR="00981F57" w:rsidRDefault="00981F57">
            <w:pPr>
              <w:suppressLineNumbers/>
              <w:jc w:val="both"/>
              <w:rPr>
                <w:rFonts w:ascii="Arial" w:hAnsi="Arial"/>
                <w:b/>
                <w:bCs/>
                <w:sz w:val="26"/>
                <w:szCs w:val="26"/>
                <w:rtl/>
              </w:rPr>
            </w:pPr>
          </w:p>
          <w:p w:rsidR="00981F57" w:rsidRDefault="00981F57">
            <w:pPr>
              <w:suppressLineNumbers/>
              <w:jc w:val="both"/>
              <w:rPr>
                <w:rFonts w:ascii="Arial" w:hAnsi="Arial"/>
                <w:b/>
                <w:bCs/>
                <w:sz w:val="26"/>
                <w:szCs w:val="26"/>
                <w:rtl/>
              </w:rPr>
            </w:pPr>
          </w:p>
          <w:p w:rsidR="00981F57" w:rsidRDefault="00981F57">
            <w:pPr>
              <w:suppressLineNumbers/>
              <w:jc w:val="both"/>
              <w:rPr>
                <w:rFonts w:ascii="Arial" w:hAnsi="Arial"/>
                <w:b/>
                <w:bCs/>
                <w:sz w:val="26"/>
                <w:szCs w:val="26"/>
                <w:rtl/>
              </w:rPr>
            </w:pPr>
          </w:p>
          <w:p w:rsidR="00981F57" w:rsidRDefault="00981F57">
            <w:pPr>
              <w:suppressLineNumbers/>
              <w:jc w:val="both"/>
              <w:rPr>
                <w:rFonts w:ascii="Arial" w:hAnsi="Arial"/>
                <w:b/>
                <w:bCs/>
                <w:sz w:val="26"/>
                <w:szCs w:val="26"/>
                <w:rtl/>
              </w:rPr>
            </w:pPr>
          </w:p>
          <w:p w:rsidR="00981F57" w:rsidRDefault="00981F57">
            <w:pPr>
              <w:suppressLineNumbers/>
              <w:jc w:val="both"/>
              <w:rPr>
                <w:rFonts w:ascii="Arial" w:hAnsi="Arial"/>
                <w:b/>
                <w:bCs/>
                <w:sz w:val="26"/>
                <w:szCs w:val="26"/>
                <w:rtl/>
              </w:rPr>
            </w:pPr>
          </w:p>
          <w:p w:rsidR="00981F57" w:rsidRDefault="00981F57">
            <w:pPr>
              <w:suppressLineNumbers/>
              <w:jc w:val="both"/>
              <w:rPr>
                <w:rFonts w:ascii="Arial" w:hAnsi="Arial"/>
                <w:b/>
                <w:bCs/>
                <w:sz w:val="26"/>
                <w:szCs w:val="26"/>
                <w:rtl/>
              </w:rPr>
            </w:pPr>
          </w:p>
          <w:p w:rsidR="00981F57" w:rsidRDefault="00981F57">
            <w:pPr>
              <w:suppressLineNumbers/>
              <w:jc w:val="both"/>
              <w:rPr>
                <w:rFonts w:ascii="Arial" w:hAnsi="Arial"/>
                <w:b/>
                <w:bCs/>
                <w:sz w:val="26"/>
                <w:szCs w:val="26"/>
                <w:rtl/>
              </w:rPr>
            </w:pPr>
            <w:r>
              <w:rPr>
                <w:rFonts w:ascii="Arial" w:hAnsi="Arial"/>
                <w:b/>
                <w:bCs/>
                <w:sz w:val="26"/>
                <w:szCs w:val="26"/>
                <w:rtl/>
              </w:rPr>
              <w:t xml:space="preserve">לפני </w:t>
            </w:r>
          </w:p>
        </w:tc>
        <w:tc>
          <w:tcPr>
            <w:tcW w:w="8077" w:type="dxa"/>
            <w:gridSpan w:val="2"/>
          </w:tcPr>
          <w:p w:rsidR="00981F57" w:rsidRDefault="00981F57" w:rsidP="00981F57">
            <w:pPr>
              <w:suppressLineNumbers/>
              <w:jc w:val="center"/>
              <w:rPr>
                <w:rFonts w:ascii="Arial" w:hAnsi="Arial"/>
                <w:b/>
                <w:bCs/>
                <w:sz w:val="26"/>
                <w:szCs w:val="26"/>
                <w:rtl/>
              </w:rPr>
            </w:pPr>
            <w:r>
              <w:drawing>
                <wp:inline distT="0" distB="0" distL="0" distR="0" wp14:anchorId="63A5823E" wp14:editId="27DDE249">
                  <wp:extent cx="374015" cy="469265"/>
                  <wp:effectExtent l="0" t="0" r="6985" b="698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981F57" w:rsidRDefault="00981F57" w:rsidP="00981F57">
            <w:pPr>
              <w:suppressLineNumbers/>
              <w:jc w:val="center"/>
              <w:rPr>
                <w:rFonts w:ascii="Arial" w:hAnsi="Arial"/>
                <w:b/>
                <w:bCs/>
                <w:sz w:val="26"/>
                <w:szCs w:val="26"/>
                <w:rtl/>
              </w:rPr>
            </w:pPr>
            <w:r>
              <w:rPr>
                <w:rFonts w:ascii="Tahoma" w:hAnsi="Tahoma"/>
                <w:color w:val="000080"/>
                <w:sz w:val="32"/>
                <w:szCs w:val="32"/>
                <w:rtl/>
              </w:rPr>
              <w:t>בית המשפט המחוזי בבאר שבע</w:t>
            </w:r>
          </w:p>
          <w:p w:rsidR="00981F57" w:rsidRDefault="00F74423" w:rsidP="008040F3">
            <w:pPr>
              <w:jc w:val="both"/>
              <w:rPr>
                <w:b/>
                <w:bCs/>
                <w:noProof w:val="0"/>
                <w:sz w:val="26"/>
                <w:szCs w:val="26"/>
              </w:rPr>
            </w:pPr>
            <w:sdt>
              <w:sdtPr>
                <w:rPr>
                  <w:rtl/>
                </w:rPr>
                <w:alias w:val="1170"/>
                <w:tag w:val="1170"/>
                <w:id w:val="1066377040"/>
                <w:text w:multiLine="1"/>
              </w:sdtPr>
              <w:sdtEndPr/>
              <w:sdtContent>
                <w:r w:rsidR="00981F57">
                  <w:rPr>
                    <w:b/>
                    <w:bCs/>
                    <w:noProof w:val="0"/>
                    <w:sz w:val="26"/>
                    <w:szCs w:val="26"/>
                    <w:rtl/>
                  </w:rPr>
                  <w:br/>
                </w:r>
                <w:r w:rsidR="00981F57">
                  <w:rPr>
                    <w:b/>
                    <w:bCs/>
                    <w:noProof w:val="0"/>
                    <w:sz w:val="26"/>
                    <w:szCs w:val="26"/>
                    <w:rtl/>
                  </w:rPr>
                  <w:br/>
                  <w:t>רמ"ש</w:t>
                </w:r>
              </w:sdtContent>
            </w:sdt>
            <w:r w:rsidR="00981F57">
              <w:rPr>
                <w:b/>
                <w:bCs/>
                <w:noProof w:val="0"/>
                <w:sz w:val="26"/>
                <w:szCs w:val="26"/>
                <w:rtl/>
              </w:rPr>
              <w:t xml:space="preserve"> </w:t>
            </w:r>
            <w:sdt>
              <w:sdtPr>
                <w:rPr>
                  <w:rtl/>
                </w:rPr>
                <w:alias w:val="1171"/>
                <w:tag w:val="1171"/>
                <w:id w:val="257034231"/>
                <w:text w:multiLine="1"/>
              </w:sdtPr>
              <w:sdtEndPr/>
              <w:sdtContent>
                <w:r w:rsidR="00981F57">
                  <w:rPr>
                    <w:b/>
                    <w:bCs/>
                    <w:noProof w:val="0"/>
                    <w:sz w:val="26"/>
                    <w:szCs w:val="26"/>
                    <w:rtl/>
                  </w:rPr>
                  <w:t>28221-09-23</w:t>
                </w:r>
              </w:sdtContent>
            </w:sdt>
            <w:r w:rsidR="00981F57">
              <w:rPr>
                <w:b/>
                <w:bCs/>
                <w:noProof w:val="0"/>
                <w:sz w:val="26"/>
                <w:szCs w:val="26"/>
                <w:rtl/>
              </w:rPr>
              <w:t xml:space="preserve"> </w:t>
            </w:r>
            <w:sdt>
              <w:sdtPr>
                <w:rPr>
                  <w:b/>
                  <w:bCs/>
                  <w:noProof w:val="0"/>
                  <w:sz w:val="26"/>
                  <w:szCs w:val="26"/>
                  <w:rtl/>
                </w:rPr>
                <w:alias w:val="3154"/>
                <w:tag w:val="3154"/>
                <w:id w:val="-1714497037"/>
                <w:placeholder>
                  <w:docPart w:val="4799737DCE474619B2593AC25DC5F346"/>
                </w:placeholder>
                <w:text w:multiLine="1"/>
              </w:sdtPr>
              <w:sdtEndPr/>
              <w:sdtContent>
                <w:r w:rsidR="008040F3">
                  <w:rPr>
                    <w:rFonts w:hint="cs"/>
                    <w:b/>
                    <w:bCs/>
                    <w:noProof w:val="0"/>
                    <w:sz w:val="26"/>
                    <w:szCs w:val="26"/>
                    <w:rtl/>
                  </w:rPr>
                  <w:t>פלונית</w:t>
                </w:r>
                <w:r w:rsidR="00981F57">
                  <w:rPr>
                    <w:b/>
                    <w:bCs/>
                    <w:noProof w:val="0"/>
                    <w:sz w:val="26"/>
                    <w:szCs w:val="26"/>
                    <w:rtl/>
                  </w:rPr>
                  <w:t xml:space="preserve"> נ' </w:t>
                </w:r>
                <w:r w:rsidR="008040F3">
                  <w:rPr>
                    <w:rFonts w:hint="cs"/>
                    <w:b/>
                    <w:bCs/>
                    <w:noProof w:val="0"/>
                    <w:sz w:val="26"/>
                    <w:szCs w:val="26"/>
                    <w:rtl/>
                  </w:rPr>
                  <w:t>אלמוני</w:t>
                </w:r>
              </w:sdtContent>
            </w:sdt>
            <w:r w:rsidR="00981F57">
              <w:rPr>
                <w:b/>
                <w:bCs/>
                <w:noProof w:val="0"/>
                <w:sz w:val="26"/>
                <w:szCs w:val="26"/>
                <w:rtl/>
              </w:rPr>
              <w:t xml:space="preserve"> </w:t>
            </w:r>
          </w:p>
          <w:p w:rsidR="00981F57" w:rsidRDefault="00981F57" w:rsidP="00981F57">
            <w:pPr>
              <w:rPr>
                <w:b/>
                <w:bCs/>
                <w:noProof w:val="0"/>
                <w:sz w:val="2"/>
                <w:szCs w:val="2"/>
                <w:rtl/>
              </w:rPr>
            </w:pPr>
          </w:p>
          <w:p w:rsidR="00981F57" w:rsidRDefault="00981F57" w:rsidP="00981F57">
            <w:pPr>
              <w:rPr>
                <w:sz w:val="20"/>
                <w:szCs w:val="20"/>
                <w:rtl/>
              </w:rPr>
            </w:pPr>
            <w:r>
              <w:rPr>
                <w:rtl/>
              </w:rPr>
              <w:t xml:space="preserve">                           </w:t>
            </w:r>
            <w:r>
              <w:rPr>
                <w:sz w:val="20"/>
                <w:szCs w:val="20"/>
                <w:rtl/>
              </w:rPr>
              <w:t xml:space="preserve">                                       </w:t>
            </w:r>
          </w:p>
          <w:p w:rsidR="00981F57" w:rsidRDefault="00981F57" w:rsidP="00981F57">
            <w:pPr>
              <w:suppressLineNumbers/>
              <w:jc w:val="left"/>
              <w:rPr>
                <w:rFonts w:ascii="Arial" w:hAnsi="Arial"/>
                <w:b/>
                <w:bCs/>
                <w:sz w:val="26"/>
                <w:szCs w:val="26"/>
                <w:rtl/>
              </w:rPr>
            </w:pPr>
          </w:p>
          <w:p w:rsidR="00981F57" w:rsidRDefault="00981F57" w:rsidP="00981F57">
            <w:pPr>
              <w:suppressLineNumbers/>
              <w:jc w:val="left"/>
              <w:rPr>
                <w:rFonts w:ascii="Arial" w:hAnsi="Arial"/>
                <w:b/>
                <w:bCs/>
                <w:sz w:val="26"/>
                <w:szCs w:val="26"/>
                <w:rtl/>
              </w:rPr>
            </w:pPr>
          </w:p>
          <w:p w:rsidR="00981F57" w:rsidRDefault="00981F57" w:rsidP="00981F57">
            <w:pPr>
              <w:suppressLineNumbers/>
              <w:jc w:val="left"/>
              <w:rPr>
                <w:rFonts w:ascii="Arial" w:hAnsi="Arial"/>
                <w:b/>
                <w:bCs/>
                <w:sz w:val="26"/>
                <w:szCs w:val="26"/>
                <w:rtl/>
              </w:rPr>
            </w:pPr>
          </w:p>
          <w:p w:rsidR="00981F57" w:rsidRDefault="00981F57" w:rsidP="00981F57">
            <w:pPr>
              <w:suppressLineNumbers/>
              <w:jc w:val="left"/>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981F57" w:rsidRDefault="00981F57">
            <w:pPr>
              <w:suppressLineNumbers/>
              <w:rPr>
                <w:sz w:val="26"/>
                <w:szCs w:val="26"/>
                <w:rtl/>
              </w:rPr>
            </w:pPr>
          </w:p>
        </w:tc>
      </w:tr>
      <w:tr w:rsidR="00981F57" w:rsidTr="00981F57">
        <w:trPr>
          <w:jc w:val="center"/>
        </w:trPr>
        <w:tc>
          <w:tcPr>
            <w:tcW w:w="3249" w:type="dxa"/>
            <w:gridSpan w:val="2"/>
          </w:tcPr>
          <w:p w:rsidR="00981F57" w:rsidRDefault="00981F57">
            <w:pPr>
              <w:suppressLineNumbers/>
            </w:pPr>
            <w:bookmarkStart w:id="1" w:name="NGCSBookmark"/>
            <w:bookmarkEnd w:id="1"/>
          </w:p>
          <w:sdt>
            <w:sdtPr>
              <w:rPr>
                <w:rtl/>
              </w:rPr>
              <w:alias w:val="1180"/>
              <w:tag w:val="1180"/>
              <w:id w:val="637458750"/>
              <w:text w:multiLine="1"/>
            </w:sdtPr>
            <w:sdtEndPr/>
            <w:sdtContent>
              <w:p w:rsidR="00981F57" w:rsidRDefault="00981F57">
                <w:pPr>
                  <w:suppressLineNumbers/>
                  <w:jc w:val="left"/>
                  <w:rPr>
                    <w:rFonts w:ascii="Arial" w:hAnsi="Arial"/>
                    <w:b/>
                    <w:bCs/>
                    <w:noProof w:val="0"/>
                    <w:sz w:val="26"/>
                    <w:szCs w:val="26"/>
                  </w:rPr>
                </w:pPr>
                <w:r>
                  <w:rPr>
                    <w:rFonts w:ascii="Arial" w:hAnsi="Arial"/>
                    <w:b/>
                    <w:bCs/>
                    <w:noProof w:val="0"/>
                    <w:sz w:val="26"/>
                    <w:szCs w:val="26"/>
                    <w:rtl/>
                  </w:rPr>
                  <w:t xml:space="preserve">המבקשת </w:t>
                </w:r>
              </w:p>
            </w:sdtContent>
          </w:sdt>
        </w:tc>
        <w:tc>
          <w:tcPr>
            <w:tcW w:w="5571" w:type="dxa"/>
          </w:tcPr>
          <w:p w:rsidR="00981F57" w:rsidRDefault="00981F57">
            <w:pPr>
              <w:suppressLineNumbers/>
              <w:rPr>
                <w:rtl/>
              </w:rPr>
            </w:pPr>
          </w:p>
          <w:p w:rsidR="00981F57" w:rsidRDefault="00F74423" w:rsidP="008040F3">
            <w:pPr>
              <w:suppressLineNumbers/>
              <w:jc w:val="left"/>
              <w:rPr>
                <w:b/>
                <w:bCs/>
                <w:noProof w:val="0"/>
                <w:sz w:val="26"/>
                <w:szCs w:val="26"/>
                <w:rtl/>
              </w:rPr>
            </w:pPr>
            <w:sdt>
              <w:sdtPr>
                <w:rPr>
                  <w:rFonts w:ascii="Arial" w:hAnsi="Arial"/>
                  <w:b/>
                  <w:bCs/>
                  <w:noProof w:val="0"/>
                  <w:sz w:val="26"/>
                  <w:szCs w:val="26"/>
                  <w:rtl/>
                </w:rPr>
                <w:alias w:val="3151"/>
                <w:tag w:val="3151"/>
                <w:id w:val="1166218717"/>
                <w:placeholder>
                  <w:docPart w:val="8D495526EEB04FE598ADAE96FA66A710"/>
                </w:placeholder>
                <w:text w:multiLine="1"/>
              </w:sdtPr>
              <w:sdtEndPr/>
              <w:sdtContent>
                <w:r w:rsidR="008040F3">
                  <w:rPr>
                    <w:rFonts w:ascii="Arial" w:hAnsi="Arial" w:hint="cs"/>
                    <w:b/>
                    <w:bCs/>
                    <w:noProof w:val="0"/>
                    <w:sz w:val="26"/>
                    <w:szCs w:val="26"/>
                    <w:rtl/>
                  </w:rPr>
                  <w:t>פלונית</w:t>
                </w:r>
                <w:r w:rsidR="00981F57">
                  <w:rPr>
                    <w:rFonts w:ascii="Arial" w:hAnsi="Arial"/>
                    <w:b/>
                    <w:bCs/>
                    <w:noProof w:val="0"/>
                    <w:sz w:val="26"/>
                    <w:szCs w:val="26"/>
                    <w:rtl/>
                  </w:rPr>
                  <w:br/>
                  <w:t xml:space="preserve">באמצעות ב"כ עוה"ד רות דיין-וולפנר ואח' </w:t>
                </w:r>
              </w:sdtContent>
            </w:sdt>
          </w:p>
        </w:tc>
      </w:tr>
      <w:tr w:rsidR="00981F57" w:rsidTr="00981F57">
        <w:trPr>
          <w:jc w:val="center"/>
        </w:trPr>
        <w:tc>
          <w:tcPr>
            <w:tcW w:w="8820" w:type="dxa"/>
            <w:gridSpan w:val="3"/>
          </w:tcPr>
          <w:p w:rsidR="00981F57" w:rsidRDefault="00981F57">
            <w:pPr>
              <w:suppressLineNumbers/>
              <w:rPr>
                <w:rFonts w:ascii="Arial" w:hAnsi="Arial"/>
                <w:b/>
                <w:bCs/>
                <w:noProof w:val="0"/>
                <w:sz w:val="26"/>
                <w:szCs w:val="26"/>
                <w:rtl/>
              </w:rPr>
            </w:pPr>
          </w:p>
          <w:p w:rsidR="00981F57" w:rsidRDefault="00981F57">
            <w:pPr>
              <w:suppressLineNumbers/>
              <w:jc w:val="center"/>
              <w:rPr>
                <w:rFonts w:ascii="Arial" w:hAnsi="Arial"/>
                <w:b/>
                <w:bCs/>
                <w:noProof w:val="0"/>
                <w:sz w:val="26"/>
                <w:szCs w:val="26"/>
              </w:rPr>
            </w:pPr>
          </w:p>
        </w:tc>
      </w:tr>
      <w:tr w:rsidR="00981F57" w:rsidTr="00981F57">
        <w:trPr>
          <w:jc w:val="center"/>
        </w:trPr>
        <w:tc>
          <w:tcPr>
            <w:tcW w:w="3249" w:type="dxa"/>
            <w:gridSpan w:val="2"/>
            <w:hideMark/>
          </w:tcPr>
          <w:p w:rsidR="00981F57" w:rsidRDefault="00F74423" w:rsidP="00981F57">
            <w:pPr>
              <w:suppressLineNumbers/>
              <w:jc w:val="left"/>
              <w:rPr>
                <w:rFonts w:ascii="Arial" w:hAnsi="Arial"/>
                <w:b/>
                <w:bCs/>
                <w:noProof w:val="0"/>
                <w:sz w:val="26"/>
                <w:szCs w:val="26"/>
                <w:rtl/>
              </w:rPr>
            </w:pPr>
            <w:sdt>
              <w:sdtPr>
                <w:rPr>
                  <w:rtl/>
                </w:rPr>
                <w:alias w:val="1184"/>
                <w:tag w:val="1184"/>
                <w:id w:val="-340621022"/>
                <w:text w:multiLine="1"/>
              </w:sdtPr>
              <w:sdtEndPr/>
              <w:sdtContent>
                <w:r w:rsidR="00981F57">
                  <w:rPr>
                    <w:rFonts w:ascii="Arial" w:hAnsi="Arial"/>
                    <w:b/>
                    <w:bCs/>
                    <w:noProof w:val="0"/>
                    <w:sz w:val="26"/>
                    <w:szCs w:val="26"/>
                    <w:rtl/>
                  </w:rPr>
                  <w:t>המשיב</w:t>
                </w:r>
              </w:sdtContent>
            </w:sdt>
          </w:p>
        </w:tc>
        <w:tc>
          <w:tcPr>
            <w:tcW w:w="5571" w:type="dxa"/>
            <w:hideMark/>
          </w:tcPr>
          <w:p w:rsidR="00981F57" w:rsidRDefault="00F74423" w:rsidP="008040F3">
            <w:pPr>
              <w:suppressLineNumbers/>
              <w:jc w:val="left"/>
              <w:rPr>
                <w:rFonts w:ascii="Arial" w:hAnsi="Arial"/>
                <w:b/>
                <w:bCs/>
                <w:noProof w:val="0"/>
                <w:sz w:val="26"/>
                <w:szCs w:val="26"/>
              </w:rPr>
            </w:pPr>
            <w:sdt>
              <w:sdtPr>
                <w:rPr>
                  <w:rFonts w:ascii="Arial" w:hAnsi="Arial"/>
                  <w:b/>
                  <w:bCs/>
                  <w:noProof w:val="0"/>
                  <w:sz w:val="26"/>
                  <w:szCs w:val="26"/>
                  <w:rtl/>
                </w:rPr>
                <w:alias w:val="3152"/>
                <w:tag w:val="3152"/>
                <w:id w:val="-1346628691"/>
                <w:placeholder>
                  <w:docPart w:val="4CD01BB1FCF9434C81C6D46800CEFD1C"/>
                </w:placeholder>
                <w:text w:multiLine="1"/>
              </w:sdtPr>
              <w:sdtEndPr/>
              <w:sdtContent>
                <w:r w:rsidR="008040F3">
                  <w:rPr>
                    <w:rFonts w:ascii="Arial" w:hAnsi="Arial" w:hint="cs"/>
                    <w:b/>
                    <w:bCs/>
                    <w:noProof w:val="0"/>
                    <w:sz w:val="26"/>
                    <w:szCs w:val="26"/>
                    <w:rtl/>
                  </w:rPr>
                  <w:t>אלמוני</w:t>
                </w:r>
                <w:r w:rsidR="008040F3">
                  <w:rPr>
                    <w:rFonts w:ascii="Arial" w:hAnsi="Arial"/>
                    <w:b/>
                    <w:bCs/>
                    <w:noProof w:val="0"/>
                    <w:sz w:val="26"/>
                    <w:szCs w:val="26"/>
                    <w:rtl/>
                  </w:rPr>
                  <w:t xml:space="preserve">  </w:t>
                </w:r>
                <w:r w:rsidR="00981F57">
                  <w:rPr>
                    <w:rFonts w:ascii="Arial" w:hAnsi="Arial"/>
                    <w:b/>
                    <w:bCs/>
                    <w:noProof w:val="0"/>
                    <w:sz w:val="26"/>
                    <w:szCs w:val="26"/>
                    <w:rtl/>
                  </w:rPr>
                  <w:br/>
                  <w:t>באמצעות ב"כ עוה"ד בעז בן צור ואח'</w:t>
                </w:r>
              </w:sdtContent>
            </w:sdt>
          </w:p>
        </w:tc>
      </w:tr>
      <w:tr w:rsidR="00981F57" w:rsidTr="00981F57">
        <w:trPr>
          <w:jc w:val="center"/>
        </w:trPr>
        <w:tc>
          <w:tcPr>
            <w:tcW w:w="8820" w:type="dxa"/>
            <w:gridSpan w:val="3"/>
          </w:tcPr>
          <w:p w:rsidR="00981F57" w:rsidRDefault="00981F57">
            <w:pPr>
              <w:suppressLineNumbers/>
            </w:pPr>
          </w:p>
        </w:tc>
      </w:tr>
      <w:tr w:rsidR="00981F57" w:rsidTr="00981F57">
        <w:trPr>
          <w:jc w:val="center"/>
        </w:trPr>
        <w:tc>
          <w:tcPr>
            <w:tcW w:w="3249" w:type="dxa"/>
            <w:gridSpan w:val="2"/>
          </w:tcPr>
          <w:p w:rsidR="00981F57" w:rsidRDefault="00981F57">
            <w:pPr>
              <w:rPr>
                <w:rFonts w:ascii="David" w:eastAsia="David" w:hAnsi="David"/>
                <w:b/>
                <w:bCs/>
                <w:noProof w:val="0"/>
                <w:rtl/>
              </w:rPr>
            </w:pPr>
          </w:p>
        </w:tc>
        <w:tc>
          <w:tcPr>
            <w:tcW w:w="5571" w:type="dxa"/>
          </w:tcPr>
          <w:p w:rsidR="00981F57" w:rsidRDefault="00981F57">
            <w:pPr>
              <w:rPr>
                <w:b/>
                <w:bCs/>
                <w:sz w:val="26"/>
                <w:szCs w:val="26"/>
                <w:rtl/>
              </w:rPr>
            </w:pPr>
          </w:p>
        </w:tc>
      </w:tr>
      <w:tr w:rsidR="00981F57" w:rsidTr="00981F57">
        <w:trPr>
          <w:jc w:val="center"/>
        </w:trPr>
        <w:tc>
          <w:tcPr>
            <w:tcW w:w="8820" w:type="dxa"/>
            <w:gridSpan w:val="3"/>
          </w:tcPr>
          <w:p w:rsidR="00981F57" w:rsidRDefault="00981F57">
            <w:pPr>
              <w:suppressLineNumbers/>
              <w:rPr>
                <w:rFonts w:ascii="Arial" w:hAnsi="Arial"/>
                <w:b/>
                <w:bCs/>
                <w:noProof w:val="0"/>
                <w:sz w:val="26"/>
                <w:szCs w:val="26"/>
              </w:rPr>
            </w:pPr>
          </w:p>
        </w:tc>
      </w:tr>
    </w:tbl>
    <w:p w:rsidR="00981F57" w:rsidRDefault="00981F57" w:rsidP="00981F57">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81F57" w:rsidTr="00981F57">
        <w:trPr>
          <w:jc w:val="center"/>
        </w:trPr>
        <w:tc>
          <w:tcPr>
            <w:tcW w:w="8820" w:type="dxa"/>
          </w:tcPr>
          <w:p w:rsidR="00981F57" w:rsidRDefault="00981F57">
            <w:pPr>
              <w:bidi w:val="0"/>
              <w:jc w:val="center"/>
              <w:rPr>
                <w:rFonts w:ascii="Arial" w:hAnsi="Arial"/>
                <w:b/>
                <w:bCs/>
                <w:noProof w:val="0"/>
                <w:sz w:val="32"/>
                <w:szCs w:val="32"/>
                <w:u w:val="single"/>
                <w:rtl/>
              </w:rPr>
            </w:pPr>
            <w:r>
              <w:rPr>
                <w:rFonts w:ascii="Arial" w:hAnsi="Arial"/>
                <w:b/>
                <w:bCs/>
                <w:noProof w:val="0"/>
                <w:sz w:val="32"/>
                <w:szCs w:val="32"/>
                <w:u w:val="single"/>
                <w:rtl/>
              </w:rPr>
              <w:t>החלטה</w:t>
            </w:r>
          </w:p>
          <w:p w:rsidR="00981F57" w:rsidRDefault="00981F57">
            <w:pPr>
              <w:bidi w:val="0"/>
              <w:jc w:val="center"/>
              <w:rPr>
                <w:rFonts w:ascii="Arial" w:hAnsi="Arial"/>
                <w:b/>
                <w:bCs/>
                <w:noProof w:val="0"/>
                <w:sz w:val="28"/>
                <w:szCs w:val="28"/>
                <w:u w:val="single"/>
                <w:rtl/>
              </w:rPr>
            </w:pPr>
          </w:p>
        </w:tc>
      </w:tr>
    </w:tbl>
    <w:p w:rsidR="00981F57" w:rsidRDefault="00981F57" w:rsidP="008040F3">
      <w:pPr>
        <w:spacing w:line="360" w:lineRule="auto"/>
        <w:jc w:val="both"/>
        <w:rPr>
          <w:rFonts w:ascii="Arial" w:hAnsi="Arial"/>
          <w:noProof w:val="0"/>
          <w:rtl/>
        </w:rPr>
      </w:pPr>
      <w:r>
        <w:rPr>
          <w:rFonts w:ascii="Arial" w:hAnsi="Arial"/>
          <w:noProof w:val="0"/>
          <w:rtl/>
        </w:rPr>
        <w:t xml:space="preserve">מונחת לפניי בקשת רשות ערעור המכוונת כנגד החלטת בית המשפט לענייני משפחה באשדוד מיום 16.07.2023 בגדרה נדחתה עתירת המבקשת לחיוב המשיב בהעברת סך של 500,000 ₪ או סכום משמעותי אחר, כלשונה, על חשבון איזון המשאבים שייערך בין הצדדים בתום ההליך ובמסגרת ההכרעה בו. </w:t>
      </w:r>
    </w:p>
    <w:p w:rsidR="00981F57" w:rsidRDefault="00981F57" w:rsidP="00981F57">
      <w:pPr>
        <w:spacing w:line="360" w:lineRule="auto"/>
        <w:jc w:val="both"/>
        <w:rPr>
          <w:rFonts w:ascii="Arial" w:hAnsi="Arial"/>
          <w:noProof w:val="0"/>
        </w:rPr>
      </w:pPr>
    </w:p>
    <w:p w:rsidR="00981F57" w:rsidRDefault="00981F57" w:rsidP="00981F57">
      <w:pPr>
        <w:pStyle w:val="a3"/>
        <w:spacing w:line="360" w:lineRule="auto"/>
        <w:ind w:left="85"/>
        <w:jc w:val="both"/>
        <w:rPr>
          <w:rFonts w:ascii="Arial" w:hAnsi="Arial"/>
          <w:b/>
          <w:bCs/>
          <w:noProof w:val="0"/>
          <w:rtl/>
        </w:rPr>
      </w:pPr>
      <w:r>
        <w:rPr>
          <w:rFonts w:ascii="Arial" w:hAnsi="Arial"/>
          <w:b/>
          <w:bCs/>
          <w:noProof w:val="0"/>
          <w:rtl/>
        </w:rPr>
        <w:t xml:space="preserve">השאלה שבלב ההחלטה שלפנינו היא, אפוא, האם יש להתערב בהחלטת בית המשפט קמא ולקבוע, כי המבקשת זכאית לקבלת הכספים על חשבון איזון המשאבים שייערך בין הצדדים בסופו של יום ועוד טרם הבירור העובדתי ושמיעת ראיות בהליך, לרבות בשאלת תוקפו של הסכם שהוכתר כהסכם ממון ונחתם בידי הצדדים ערב נישואיהם ונפקותו. </w:t>
      </w:r>
    </w:p>
    <w:p w:rsidR="00981F57" w:rsidRDefault="00981F57" w:rsidP="00981F57">
      <w:pPr>
        <w:spacing w:line="360" w:lineRule="auto"/>
        <w:jc w:val="both"/>
        <w:rPr>
          <w:rFonts w:ascii="Arial" w:hAnsi="Arial"/>
          <w:noProof w:val="0"/>
        </w:rPr>
      </w:pPr>
    </w:p>
    <w:p w:rsidR="00981F57" w:rsidRDefault="00981F57" w:rsidP="00981F57">
      <w:pPr>
        <w:rPr>
          <w:rFonts w:ascii="David" w:hAnsi="David"/>
          <w:b/>
          <w:bCs/>
          <w:sz w:val="26"/>
          <w:szCs w:val="26"/>
          <w:u w:val="single"/>
          <w:rtl/>
        </w:rPr>
      </w:pPr>
      <w:r>
        <w:rPr>
          <w:rFonts w:ascii="David" w:hAnsi="David"/>
          <w:b/>
          <w:bCs/>
          <w:sz w:val="26"/>
          <w:szCs w:val="26"/>
          <w:u w:val="single"/>
          <w:rtl/>
        </w:rPr>
        <w:t>רקע עובדתי והשתלשלות העניינים</w:t>
      </w:r>
    </w:p>
    <w:p w:rsidR="00981F57" w:rsidRDefault="00981F57" w:rsidP="00981F57">
      <w:pPr>
        <w:spacing w:line="360" w:lineRule="auto"/>
        <w:jc w:val="both"/>
        <w:rPr>
          <w:rFonts w:ascii="Arial" w:hAnsi="Arial"/>
          <w:noProof w:val="0"/>
        </w:rPr>
      </w:pPr>
    </w:p>
    <w:p w:rsidR="00981F57" w:rsidRDefault="00981F57" w:rsidP="008040F3">
      <w:pPr>
        <w:pStyle w:val="a3"/>
        <w:numPr>
          <w:ilvl w:val="0"/>
          <w:numId w:val="1"/>
        </w:numPr>
        <w:spacing w:line="360" w:lineRule="auto"/>
        <w:jc w:val="both"/>
        <w:rPr>
          <w:rFonts w:ascii="Arial" w:hAnsi="Arial"/>
          <w:noProof w:val="0"/>
          <w:rtl/>
        </w:rPr>
      </w:pPr>
      <w:r>
        <w:rPr>
          <w:rFonts w:ascii="Arial" w:hAnsi="Arial"/>
          <w:noProof w:val="0"/>
          <w:rtl/>
        </w:rPr>
        <w:t xml:space="preserve">הצדדים הם בני זוג לשעבר, אשר נישאו בנישואין אזרחיים בקפריסין ביום </w:t>
      </w:r>
      <w:r w:rsidR="008040F3">
        <w:rPr>
          <w:rFonts w:ascii="Arial" w:hAnsi="Arial" w:hint="cs"/>
          <w:noProof w:val="0"/>
          <w:rtl/>
        </w:rPr>
        <w:t>...</w:t>
      </w:r>
      <w:r>
        <w:rPr>
          <w:rFonts w:ascii="Arial" w:hAnsi="Arial"/>
          <w:noProof w:val="0"/>
          <w:rtl/>
        </w:rPr>
        <w:t xml:space="preserve">, ולהם בן משותף, שכיום הוא בגיר. </w:t>
      </w:r>
    </w:p>
    <w:p w:rsidR="00981F57" w:rsidRDefault="00981F57" w:rsidP="00981F57">
      <w:pPr>
        <w:pStyle w:val="a3"/>
        <w:jc w:val="both"/>
        <w:rPr>
          <w:rFonts w:ascii="Arial" w:hAnsi="Arial"/>
          <w:noProof w:val="0"/>
          <w:rtl/>
        </w:rPr>
      </w:pPr>
    </w:p>
    <w:p w:rsidR="00981F57" w:rsidRDefault="00981F57" w:rsidP="008040F3">
      <w:pPr>
        <w:pStyle w:val="a3"/>
        <w:numPr>
          <w:ilvl w:val="0"/>
          <w:numId w:val="1"/>
        </w:numPr>
        <w:spacing w:line="360" w:lineRule="auto"/>
        <w:jc w:val="both"/>
        <w:rPr>
          <w:rFonts w:ascii="Arial" w:hAnsi="Arial"/>
          <w:noProof w:val="0"/>
        </w:rPr>
      </w:pPr>
      <w:r>
        <w:rPr>
          <w:rFonts w:ascii="Arial" w:hAnsi="Arial"/>
          <w:noProof w:val="0"/>
          <w:rtl/>
        </w:rPr>
        <w:t xml:space="preserve">מעיון בתיק המתנהל בבית המשפט קמא עולה, כי כשבוע טרם נישואיהם, ביום </w:t>
      </w:r>
      <w:r w:rsidR="008040F3">
        <w:rPr>
          <w:rFonts w:ascii="Arial" w:hAnsi="Arial" w:hint="cs"/>
          <w:noProof w:val="0"/>
          <w:rtl/>
        </w:rPr>
        <w:t>...</w:t>
      </w:r>
      <w:r>
        <w:rPr>
          <w:rFonts w:ascii="Arial" w:hAnsi="Arial"/>
          <w:noProof w:val="0"/>
          <w:rtl/>
        </w:rPr>
        <w:t xml:space="preserve">, חתמו הצדדים על הסכם הנושא כותרת "הסכם ממון". </w:t>
      </w:r>
    </w:p>
    <w:p w:rsidR="00981F57" w:rsidRDefault="00981F57" w:rsidP="00981F57">
      <w:pPr>
        <w:ind w:left="360"/>
        <w:jc w:val="both"/>
        <w:rPr>
          <w:rFonts w:ascii="Arial" w:hAnsi="Arial"/>
          <w:noProof w:val="0"/>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lastRenderedPageBreak/>
        <w:t>גם בעבר נתגלעו מחלוקות בין הצדדים ובחודש נובמבר 2015 הוגשה ע"י המבקשת תביעה רכושית כנגד המשיב, אשר בחלוף שבועות אחדים נמחקה לבקשתה.</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t xml:space="preserve">בחודש אפריל אשתקד שבה ופנתה המבקשת לבית המשפט לענייני משפחה בבקשה ליישוב סכסוך, וביום 17.05.2022 הוגשה ע"י הצדדים בקשה משותפת לאישור הסכם גירושין שנחתם בידיהם ביום 10.05.2022. הצדדים זומנו לדיון לשם אישור ההסכם, ברם המבקשת לא התייצבה לדיון ובהמשך עתרה לסגירת הליך יישוב הסכסוך, משהתברר לה, כטענתה, שהסכם הגירושין מקפח אותה.  </w:t>
      </w:r>
    </w:p>
    <w:p w:rsidR="00981F57" w:rsidRDefault="00981F57" w:rsidP="00981F57">
      <w:pPr>
        <w:pStyle w:val="a3"/>
        <w:rPr>
          <w:rFonts w:ascii="Arial" w:hAnsi="Arial"/>
          <w:noProof w:val="0"/>
          <w:rtl/>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t>לאחר שהליך ישוב הסכסוך הסתיים בלא כלום, הוגשה ע"י המבקשת תביעה רכושית במסגרתה עתרה לשורת סעדים ובהם מתן חשבונות, איזון משאבים בכלל הנכסים שנצברו ע" הצדדים בתקופת הנישואין, פירוק שיתוף, מינוי מומחה כלכלי ועוד.</w:t>
      </w:r>
    </w:p>
    <w:p w:rsidR="00981F57" w:rsidRDefault="00981F57" w:rsidP="00981F57">
      <w:pPr>
        <w:pStyle w:val="a3"/>
        <w:rPr>
          <w:rFonts w:ascii="Arial" w:hAnsi="Arial"/>
          <w:noProof w:val="0"/>
          <w:rtl/>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t>ביום 19.09.2022 הגיש המשיב בקשה לסילוק תביעת המבקשת על הסף, הנשענת על הטענה, כי הצדדים חתמו טרום נישואיהם על הסכם ממון שאושר ע"י נוטריון בגדרו הוסכם שמשאבי הצדדים לא יאוזנו ככל שנישואיהם יפקעו, אלא שאין בידו עותק שלו משהעותק היחיד שהיה ברשותו נשרף.</w:t>
      </w:r>
    </w:p>
    <w:p w:rsidR="00981F57" w:rsidRDefault="00981F57" w:rsidP="00981F57">
      <w:pPr>
        <w:pStyle w:val="a3"/>
        <w:rPr>
          <w:rFonts w:ascii="Arial" w:hAnsi="Arial"/>
          <w:noProof w:val="0"/>
          <w:rtl/>
        </w:rPr>
      </w:pPr>
    </w:p>
    <w:p w:rsidR="00981F57" w:rsidRDefault="00981F57" w:rsidP="00981F57">
      <w:pPr>
        <w:pStyle w:val="a3"/>
        <w:spacing w:line="360" w:lineRule="auto"/>
        <w:jc w:val="both"/>
        <w:rPr>
          <w:rFonts w:ascii="Arial" w:hAnsi="Arial"/>
          <w:noProof w:val="0"/>
        </w:rPr>
      </w:pPr>
      <w:r>
        <w:rPr>
          <w:rFonts w:ascii="Arial" w:hAnsi="Arial"/>
          <w:noProof w:val="0"/>
          <w:rtl/>
        </w:rPr>
        <w:t>בתגובתה לבקשה טענה המבקשת, כי אמנם זכור לה שערב נישואי הצדדים הם חתמו על הסכם כלשהו, אשר חתימתה עליו נכפתה עליה ע"י המשיב, ברם הוא לא אושר כדין וממילא לאורך שנות הנישואין, לא נהגו הצדדים על פיו.</w:t>
      </w:r>
    </w:p>
    <w:p w:rsidR="00981F57" w:rsidRDefault="00981F57" w:rsidP="00981F57">
      <w:pPr>
        <w:rPr>
          <w:rFonts w:ascii="Arial" w:hAnsi="Arial"/>
          <w:noProof w:val="0"/>
          <w:rtl/>
        </w:rPr>
      </w:pPr>
    </w:p>
    <w:p w:rsidR="00981F57" w:rsidRDefault="00981F57" w:rsidP="00981F57">
      <w:pPr>
        <w:pStyle w:val="a3"/>
        <w:spacing w:line="360" w:lineRule="auto"/>
        <w:jc w:val="both"/>
        <w:rPr>
          <w:rFonts w:ascii="Arial" w:hAnsi="Arial"/>
          <w:noProof w:val="0"/>
        </w:rPr>
      </w:pPr>
      <w:r>
        <w:rPr>
          <w:rFonts w:ascii="Arial" w:hAnsi="Arial"/>
          <w:noProof w:val="0"/>
          <w:rtl/>
        </w:rPr>
        <w:t xml:space="preserve">בסופו של דבר נדחתה הבקשה. </w:t>
      </w:r>
    </w:p>
    <w:p w:rsidR="00981F57" w:rsidRDefault="00981F57" w:rsidP="00981F57">
      <w:pPr>
        <w:rPr>
          <w:rFonts w:ascii="Arial" w:hAnsi="Arial"/>
          <w:noProof w:val="0"/>
          <w:rtl/>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t xml:space="preserve">ביום 16.11.2022 הגיש המשיב בקשה לפיצול הדיון בהליך, לאחר שלטענתו עלה בידו למצוא עותק של הסכם הממון, באופן בו תתברר תחילה שאלת תוקפו ושאלת סמכותו העניינית של בית המשפט לענייני משפחה לדון בתביעה נוכח תניית השיפוט שבהסכם. </w:t>
      </w:r>
    </w:p>
    <w:p w:rsidR="00981F57" w:rsidRDefault="00981F57" w:rsidP="00981F57">
      <w:pPr>
        <w:rPr>
          <w:rFonts w:ascii="Arial" w:hAnsi="Arial"/>
          <w:noProof w:val="0"/>
        </w:rPr>
      </w:pPr>
      <w:r>
        <w:rPr>
          <w:rFonts w:ascii="Arial" w:hAnsi="Arial"/>
          <w:noProof w:val="0"/>
          <w:rtl/>
        </w:rPr>
        <w:t xml:space="preserve"> </w:t>
      </w: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t>בית המשפט קמא קיים שני דיוני הוכחות לצורך בירור הבקשה, ולאחר שהצדדים סיכמו טענותיהם בכתב ניתנה ביום 17.04.2023 החלטה על פיה נדחתה טענת המשיב בעניין הסמכות העניינית, ונקבע, כי מסורה לבית המשפט לענייני משפחה הסמכות לדון בתובענה. כן נדחתה עתירתו לפיצול הדיון.</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t xml:space="preserve">ביום 04.06.2023 שב ועתר המשיב לסילוק התביעה על הסף, המבוססת על טענה בדבר "שינוי נסיבות דרמטי", כלשונו, היות שלטענתו נמצא במשרד הנוטריון עותק של הסכם הממון שאושר על ידו. לאחר שנתקבלה תגובת המבקשת, ניתנה ביום 14.06.2023 החלטה על פיה נדחתה הבקשה, תוך שנקבע, כי טענות הצדדים בעניין תוקפו של הסכם הממון יתבררו בהמשך. </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lastRenderedPageBreak/>
        <w:t>יצוין, כי המשיב פנה לבית משפט זה בבקשה לקבלת רשות לערער על ההחלטה האמורה, אך נוכח ההתפתחויות בהליך המתנהל בבית המשפט קמא והחלטה שניתנה ע"י בית משפט זה, הודיע, כי אינו עומד על הכרעה בבקשת רשות הערעור, והיא נמחקה.</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t xml:space="preserve">עוד יצוין, כי ביום 01.06.2023 הגישה המבקשת בקשה דחופה לקבלת סך של 100,000 ₪ מתוך הכספים המוחזקים בחשבון בנק משותף של הצדדים עד לחלוקת היתרות בו בין הצדדים. בית המשפט הורה בהחלטתו, כי יידרש לבקשה במסגרת ישיבת קדם המשפט הקרובה.    </w:t>
      </w:r>
    </w:p>
    <w:p w:rsidR="00981F57" w:rsidRDefault="00981F57" w:rsidP="00981F57">
      <w:pPr>
        <w:pStyle w:val="a3"/>
        <w:spacing w:line="360" w:lineRule="auto"/>
        <w:jc w:val="both"/>
        <w:rPr>
          <w:rFonts w:ascii="Arial" w:hAnsi="Arial"/>
          <w:noProof w:val="0"/>
          <w:rtl/>
        </w:rPr>
      </w:pPr>
      <w:r>
        <w:rPr>
          <w:rFonts w:ascii="Arial" w:hAnsi="Arial"/>
          <w:noProof w:val="0"/>
          <w:rtl/>
        </w:rPr>
        <w:t xml:space="preserve">ביום 19.06.2023, לאחר ישיבת קדם המשפט, ניתנה החלטה מנומקת במספר עניינים התלויים ועומדים, לרבות בבקשה האמורה, אשר נדחתה, תוך שנקבע, כי גם עניין הכספים המוחזקים בחשבון הבנק המשותף יוכרע בתום ההליך ובמסגרת פסק הדין וכי אין מקום להורות על חלוקתם טרם בירור טענות הצדדים והכרעה בהן. </w:t>
      </w:r>
    </w:p>
    <w:p w:rsidR="00981F57" w:rsidRDefault="00981F57" w:rsidP="00981F57">
      <w:pPr>
        <w:pStyle w:val="a3"/>
        <w:spacing w:line="360" w:lineRule="auto"/>
        <w:jc w:val="both"/>
        <w:rPr>
          <w:rFonts w:ascii="Arial" w:hAnsi="Arial"/>
          <w:noProof w:val="0"/>
          <w:rtl/>
        </w:rPr>
      </w:pPr>
      <w:r>
        <w:rPr>
          <w:rFonts w:ascii="Arial" w:hAnsi="Arial"/>
          <w:noProof w:val="0"/>
          <w:rtl/>
        </w:rPr>
        <w:t>להשלמת התמונה יצוין עוד, כי כבר בראשית ההליך, ביום 27.06.2022 עתרה המבקשת לחלוקת הכספים בחשבון הבנק המשותף, אך נוכח השתלשלות העניינים בהליך ניתנה, כאמור, ההחלטה בבקשתה לאחר ישיבת קדם המשפט מיום 18.06.2023.</w:t>
      </w:r>
    </w:p>
    <w:p w:rsidR="00981F57" w:rsidRDefault="00981F57" w:rsidP="00981F57">
      <w:pPr>
        <w:jc w:val="both"/>
        <w:rPr>
          <w:rFonts w:ascii="Arial" w:hAnsi="Arial"/>
          <w:noProof w:val="0"/>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t>ביום 02.07.2023 הגישה המבקשת בקשה נוספת שהוכתרה כדחופה במסגרתה עתרה לקבלת סכום כספי משמעותי על חשבון איזון המשאבים, הנשענת בעיקר על הטענה שהיא שהכספים נחוצים לה נוכח מצבה הכלכלי הקשה  והיות שהמשיב מעכב במתכוון בירור ההליך וקידום  איזון המשאבים בין הצדדים וחלוקת הרכוש המשותף להם.</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t xml:space="preserve">לאחר שנתקבלה תגובת המשיב, ניתנה ביום 16.07.2023 ההחלטה נושא בקשת רשות הערעור שלפנינו, על פיה נדחתה הבקשה. </w:t>
      </w:r>
    </w:p>
    <w:p w:rsidR="00981F57" w:rsidRDefault="00981F57" w:rsidP="00981F57">
      <w:pPr>
        <w:pStyle w:val="a3"/>
        <w:spacing w:line="360" w:lineRule="auto"/>
        <w:jc w:val="both"/>
        <w:rPr>
          <w:rFonts w:ascii="Arial" w:hAnsi="Arial"/>
          <w:noProof w:val="0"/>
          <w:rtl/>
        </w:rPr>
      </w:pPr>
      <w:r>
        <w:rPr>
          <w:rFonts w:ascii="Arial" w:hAnsi="Arial"/>
          <w:noProof w:val="0"/>
          <w:rtl/>
        </w:rPr>
        <w:t xml:space="preserve">בהחלטה נקבע, בין היתר לאמור: </w:t>
      </w:r>
      <w:r>
        <w:rPr>
          <w:rFonts w:ascii="Arial" w:hAnsi="Arial"/>
          <w:b/>
          <w:bCs/>
          <w:noProof w:val="0"/>
          <w:rtl/>
        </w:rPr>
        <w:t>"... טענות הצדדים בסוגיית ההסכם ותוקפו מצריכות בירור עובדתי ושמיעת ראיות, ובנסיבות אלה לא מצאתי לחייב את המשיב כבר עתה להעביר למבקשת תשלום סכום כספי כלשהו ע"ח איזון המשאבים..."</w:t>
      </w:r>
      <w:r>
        <w:rPr>
          <w:rFonts w:ascii="Arial" w:hAnsi="Arial"/>
          <w:noProof w:val="0"/>
          <w:rtl/>
        </w:rPr>
        <w:t xml:space="preserve">. </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t xml:space="preserve">המבקשת לא השלימה עם ההחלטה וכאמור, הגישה הבקשה שלפנינו לקבלת רשות לערער עליה. </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t xml:space="preserve">לאחר שנתבקש לעשות כן, הוגשה ע"י המשיב ביום 06.11.2023 תגובה לבקשה, ומכאן ההחלטה דנא.  </w:t>
      </w:r>
    </w:p>
    <w:p w:rsidR="008040F3" w:rsidRDefault="008040F3" w:rsidP="00981F57">
      <w:pPr>
        <w:rPr>
          <w:rFonts w:ascii="David" w:hAnsi="David"/>
          <w:b/>
          <w:bCs/>
          <w:sz w:val="26"/>
          <w:szCs w:val="26"/>
          <w:u w:val="single"/>
          <w:rtl/>
        </w:rPr>
      </w:pPr>
    </w:p>
    <w:p w:rsidR="00981F57" w:rsidRDefault="00981F57" w:rsidP="00981F57">
      <w:pPr>
        <w:rPr>
          <w:rFonts w:ascii="David" w:hAnsi="David"/>
          <w:b/>
          <w:bCs/>
          <w:sz w:val="26"/>
          <w:szCs w:val="26"/>
          <w:u w:val="single"/>
          <w:rtl/>
        </w:rPr>
      </w:pPr>
      <w:r>
        <w:rPr>
          <w:rFonts w:ascii="David" w:hAnsi="David"/>
          <w:b/>
          <w:bCs/>
          <w:sz w:val="26"/>
          <w:szCs w:val="26"/>
          <w:u w:val="single"/>
          <w:rtl/>
        </w:rPr>
        <w:t>טענות הצדדים בתמצית</w:t>
      </w:r>
    </w:p>
    <w:p w:rsidR="00981F57" w:rsidRDefault="00981F57" w:rsidP="00981F57">
      <w:pPr>
        <w:spacing w:line="360" w:lineRule="auto"/>
        <w:jc w:val="both"/>
        <w:rPr>
          <w:rFonts w:ascii="Arial" w:hAnsi="Arial"/>
          <w:noProof w:val="0"/>
          <w:rtl/>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b/>
          <w:bCs/>
          <w:noProof w:val="0"/>
          <w:u w:val="single"/>
          <w:rtl/>
        </w:rPr>
        <w:t>לטענת המבקשת</w:t>
      </w:r>
      <w:r>
        <w:rPr>
          <w:rFonts w:ascii="Arial" w:hAnsi="Arial"/>
          <w:noProof w:val="0"/>
          <w:rtl/>
        </w:rPr>
        <w:t xml:space="preserve">, בית המשפט קמא שגה משנתן החלטה שאינה מנומקת, הנעדרת התייחסות לכל טענותיה; כן נפלה לשיטתה שגיאה בהחלטה משהיא ניתנה בהתעלם מן ההלכות בעניין תשלום כספי על חשבון איזון המשאבים נוכח מצבה הכלכלי, ובתוך כך דחיית בקשתה לחיוב המשיב במזונותיה הזמניים, הגם שפוטרה על ידו מעבודתה בעסקיהם המשותפים לאחר יותר מ-20 שנות עבודה (זולת סכום חד פעמי העומד על </w:t>
      </w:r>
      <w:r>
        <w:rPr>
          <w:rFonts w:ascii="Arial" w:hAnsi="Arial"/>
          <w:noProof w:val="0"/>
          <w:rtl/>
        </w:rPr>
        <w:lastRenderedPageBreak/>
        <w:t>15,000ש"ח שנפסק עבורה) ועל אף שלמשיב שליטה מוחלטת בכל הנכסים המשותפים  של הצדדים; לדידה, אין לתלות ההכרעה בעניין איזון המשאבים החלקי בשאלת תוקפו של הסכם הממון, היות שגם אם יקבע כי הוא בתוקף, הרי שבבעלות הצדדים דירה משותפת, שהזכויות בה נרשמו על שמה בלבד משיקולי מס, והיא נקיה מזכויות כל צד שלישי שהוא, ומשכך,  זכויותיה בה משמשות כבטוחה להשבת הכספים אם יקבע בסופו של יום כי הסכם הממון תקף ואין מקום לביצוע איזון משאבים בין הצדדים;  המבקשת מוסיפה וטוענת, כי אין מקום להכיר בתוקפו של הסכם הממון חרף העדר האישור שלו משנסיבות המקרה שלפנינו אינן באות בגדר המבחנים שנקבעו לכך בפסיקה, ושעה שלאורך שנות הנישואין פעלו הצדדים בניגוד גמור לקבוע בו; המבקשת האריכה וטענה במישור העובדתי כנגד תוקפו של הסכם הממון ובתוך כך בדבר זיוף המסמך הנחזה כאישור נוטריוני שלו ובדבר הגשת תצהיר כוזב של הנוטריון;  לטענתה, בשים לב להחלטות השונות שניתנו ע"י בית המשפט קמא, צפוי ההליך להתנהל משך זמן רב, וממילא המשיב חותר לכך ומנסה בכל דרך להאריכו ולהעמידה בפני שוקת שבורה על מנת שתיכנע לתכתיביו.</w:t>
      </w:r>
    </w:p>
    <w:p w:rsidR="00981F57" w:rsidRDefault="00981F57" w:rsidP="00981F57">
      <w:pPr>
        <w:pStyle w:val="a3"/>
        <w:spacing w:line="360" w:lineRule="auto"/>
        <w:jc w:val="both"/>
        <w:rPr>
          <w:rFonts w:ascii="Arial" w:hAnsi="Arial"/>
          <w:noProof w:val="0"/>
          <w:rtl/>
        </w:rPr>
      </w:pPr>
      <w:r>
        <w:rPr>
          <w:rFonts w:ascii="Arial" w:hAnsi="Arial"/>
          <w:noProof w:val="0"/>
          <w:rtl/>
        </w:rPr>
        <w:t>לפיכך עותרת המבקשת, כי תינתן לה רשות לערער על ההחלטה  מיום 16.07.2023, לדון בה כערעור ולהורות  על העברת סכום כלשהו לידיה על חשבון איזון המשאבים תוך חיוב המשיב בהוצאותיה.</w:t>
      </w:r>
    </w:p>
    <w:p w:rsidR="00981F57" w:rsidRDefault="00981F57" w:rsidP="00981F57">
      <w:pPr>
        <w:pStyle w:val="a3"/>
        <w:spacing w:line="360" w:lineRule="auto"/>
        <w:jc w:val="both"/>
        <w:rPr>
          <w:rFonts w:ascii="Arial" w:hAnsi="Arial"/>
          <w:noProof w:val="0"/>
          <w:rtl/>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b/>
          <w:bCs/>
          <w:noProof w:val="0"/>
          <w:u w:val="single"/>
          <w:rtl/>
        </w:rPr>
        <w:t>מנגד טוען המשיב</w:t>
      </w:r>
      <w:r>
        <w:rPr>
          <w:rFonts w:ascii="Arial" w:hAnsi="Arial"/>
          <w:noProof w:val="0"/>
          <w:rtl/>
        </w:rPr>
        <w:t xml:space="preserve">, כי עניין לנו בבקשה טורדנית, שתכליתה ניסיון המבקשת להשתלט על כספים שאין היא זכאית לקבל טרם הדיון הקבוע בפני בית המשפט קמא בעוד כחודש ימים; לדידו, בקשתה הראשונה של המבקשת בעניין נדחתה כבר ביום 19.06.2023 והפכה חלוטה, ומשכך וגם נוכח החלטת בית משפט זה מיום 23.08.2023 בהליך הערעורי הקודם, לא היה כלל מקום להגיש הבקשה שלפנינו. לשיטת המשיב, דחיית הבקשה לקבלת כספים מתוך חשבון הבנק המשותף מקפלת בתוכה גם הבקשה לאיזון משאבים חלקי, והיות שהמבקשת לא הצביעה על שינוי נסיבות מאז מתן ההחלטה מיום 19.06.2023, הרי שיש לדחות גם הבקשה דנא; לדידו, בנסיבות המקרה שלפנינו לא מתקיים אף אחד מן המבחנים שנקבעו בפסיקה לביצוע תשלום על חשבון איזון המשאבים, על אחת כמה וכמה נוכח קיומו של הסכם הממון, שההסדר הקבוע בו שולל איזון המשאבים; הבקשה רצופה טענות עובדתיות אשר זולת היותן כוזבות, כטענתו, הן נטענו לראשונה בפני ערכאת הערעור ולא הובאו בפני הערכאה הדיונית; בניגוד לנטען על ידה, המבקשת אינה שרויה במצוקה כלכלית כלל, כי אם להיפך, ודווקא הוא פועל בעקביות לקידום הכרעה מהירה בעניין תוקפו של הסכם הממון, שתייתר, לשיטתו, הצורך בהכרעה בהליך, בעוד המבקשת מטרפדת זאת; לשיטתו ובשים לב גם לדרך הילוכן של הערכאה הדיונית וערכאת הערעור, נדרשת הכרעה תחילה בתוקפו של הסכם הממון, ומשזהו סלע המחלוקת בין הצדדים ובהינתן המשטר הרכושי שהוסדר בו, אין מקום להורות על איזון משאבים חלקי. בתוך כך מצביע המשיב על חולשת גרסתה של המבקשת בעניין תוקפו של הסכם הממון נוכח שינויי הגרסה שלה תוך כדי ניהול ההליך ומדגיש, כי טענת הזיוף באה לעולם רק לאחר שנמצא הסכם הממון המאושר נוטריונית, והיא נטענה בעלמא תוך התנגדות של המבקשת למינוי מומחה מתחום הגרפולוגיה כשם שנתבקש  על ידו לצורך קידום ההליך. לדידו,  הצדדים נהגו בהתאם להסכם הממון והקפידו על הפרדה רכושית לאורך שנות הנישואין עד כי שום </w:t>
      </w:r>
      <w:r>
        <w:rPr>
          <w:rFonts w:ascii="Arial" w:hAnsi="Arial"/>
          <w:noProof w:val="0"/>
          <w:rtl/>
        </w:rPr>
        <w:lastRenderedPageBreak/>
        <w:t xml:space="preserve">נכס לא נרשם של שמם במשותף ואף ניהלו חשבונות הבנק שלהם בנפרד; בנוסף טוען המשיב, כי בניגוד לטענת המבקשת, בית המשפט קמא עמד בחובת ההנמקה, וההחלטה מנומקת דיה, שעה שהיא מהווה המשך ישיר להחלטות  הקודמות שניתנו על ידו, ומכל מקום גם אם היא קצרה ותמציתית, בהתאם לפסיקת בית המשפט העליון, אין בכך כדי להביא לביטולה.  על יסוד האמור עותר המשיב לדחיית הבקשה ולחיוב המבקשת בהוצאות משפט. </w:t>
      </w:r>
    </w:p>
    <w:p w:rsidR="00981F57" w:rsidRDefault="00981F57" w:rsidP="00981F57">
      <w:pPr>
        <w:spacing w:line="360" w:lineRule="auto"/>
        <w:jc w:val="both"/>
        <w:rPr>
          <w:rFonts w:ascii="Arial" w:hAnsi="Arial"/>
          <w:noProof w:val="0"/>
        </w:rPr>
      </w:pPr>
    </w:p>
    <w:p w:rsidR="00981F57" w:rsidRDefault="00981F57" w:rsidP="00981F57">
      <w:pPr>
        <w:rPr>
          <w:rFonts w:ascii="David" w:hAnsi="David"/>
          <w:b/>
          <w:bCs/>
          <w:sz w:val="26"/>
          <w:szCs w:val="26"/>
          <w:u w:val="single"/>
        </w:rPr>
      </w:pPr>
      <w:r>
        <w:rPr>
          <w:rFonts w:ascii="David" w:hAnsi="David"/>
          <w:b/>
          <w:bCs/>
          <w:sz w:val="26"/>
          <w:szCs w:val="26"/>
          <w:u w:val="single"/>
          <w:rtl/>
        </w:rPr>
        <w:t>דיון והכרעה</w:t>
      </w:r>
    </w:p>
    <w:p w:rsidR="00981F57" w:rsidRDefault="00981F57" w:rsidP="00981F57">
      <w:pPr>
        <w:spacing w:line="360" w:lineRule="auto"/>
        <w:jc w:val="both"/>
        <w:rPr>
          <w:rFonts w:ascii="Arial" w:hAnsi="Arial"/>
          <w:noProof w:val="0"/>
          <w:rtl/>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b/>
          <w:bCs/>
          <w:noProof w:val="0"/>
          <w:rtl/>
        </w:rPr>
        <w:t xml:space="preserve">על יסוד תקנה 138(א)(5) ותקנה 146(א)(2) לתקנות סדר הדין האזרחי, תשע"ט -2018 ולאחר עיון באשר מונח לפניי ובתיק המתנהל בבית המשפט קמא, מצאתי לדחות הבקשה מהנימוקים שיובאו להלן. </w:t>
      </w:r>
    </w:p>
    <w:p w:rsidR="00981F57" w:rsidRDefault="00981F57" w:rsidP="00981F57">
      <w:pPr>
        <w:pStyle w:val="a3"/>
        <w:jc w:val="both"/>
        <w:rPr>
          <w:rFonts w:ascii="Arial" w:hAnsi="Arial"/>
          <w:noProof w:val="0"/>
          <w:rtl/>
        </w:rPr>
      </w:pPr>
    </w:p>
    <w:p w:rsidR="00981F57" w:rsidRDefault="00981F57" w:rsidP="00981F57">
      <w:pPr>
        <w:pStyle w:val="a3"/>
        <w:numPr>
          <w:ilvl w:val="0"/>
          <w:numId w:val="1"/>
        </w:numPr>
        <w:spacing w:line="360" w:lineRule="auto"/>
        <w:jc w:val="both"/>
        <w:rPr>
          <w:rFonts w:ascii="David" w:hAnsi="David"/>
        </w:rPr>
      </w:pPr>
      <w:r>
        <w:rPr>
          <w:rFonts w:ascii="Arial" w:hAnsi="Arial"/>
          <w:noProof w:val="0"/>
          <w:rtl/>
        </w:rPr>
        <w:t xml:space="preserve">ראשית, עניין לנו, כידוע, בהחלטת ביניים וגם אם אינה החלטה דיונית-ניהולית מובהקת, החלטת ביניים היא, שניתנה כשברקע תהום עמוקה הפעורה בין גרסותיהם העובדתיות של הצדדים הטעונות, מסתמא, הכרעה.  </w:t>
      </w:r>
    </w:p>
    <w:p w:rsidR="00981F57" w:rsidRDefault="00981F57" w:rsidP="00981F57">
      <w:pPr>
        <w:pStyle w:val="a3"/>
        <w:spacing w:line="360" w:lineRule="auto"/>
        <w:ind w:left="786"/>
        <w:jc w:val="both"/>
        <w:rPr>
          <w:rFonts w:ascii="Arial" w:hAnsi="Arial"/>
          <w:noProof w:val="0"/>
        </w:rPr>
      </w:pPr>
      <w:r>
        <w:rPr>
          <w:rFonts w:ascii="Arial" w:hAnsi="Arial"/>
          <w:noProof w:val="0"/>
          <w:rtl/>
        </w:rPr>
        <w:t xml:space="preserve">   </w:t>
      </w:r>
    </w:p>
    <w:p w:rsidR="00981F57" w:rsidRDefault="00981F57" w:rsidP="00981F57">
      <w:pPr>
        <w:pStyle w:val="a3"/>
        <w:spacing w:line="360" w:lineRule="auto"/>
        <w:jc w:val="both"/>
        <w:rPr>
          <w:rFonts w:ascii="Arial" w:hAnsi="Arial"/>
          <w:noProof w:val="0"/>
        </w:rPr>
      </w:pPr>
      <w:r>
        <w:rPr>
          <w:rFonts w:ascii="Arial" w:hAnsi="Arial"/>
          <w:noProof w:val="0"/>
          <w:rtl/>
        </w:rPr>
        <w:t xml:space="preserve">כידוע, בסעיף 52(ב) לחוק בתי המשפט [נוסח משולב], תשמ"ד-1984 שעניינו ערעור על החלטות ביניים בהליכים אזרחיים המתנהלים בבתי משפט השלום נקבע לאמור: </w:t>
      </w:r>
    </w:p>
    <w:p w:rsidR="00981F57" w:rsidRDefault="00981F57" w:rsidP="00981F57">
      <w:pPr>
        <w:pStyle w:val="a3"/>
        <w:rPr>
          <w:rFonts w:ascii="Arial" w:hAnsi="Arial"/>
          <w:noProof w:val="0"/>
        </w:rPr>
      </w:pPr>
    </w:p>
    <w:p w:rsidR="00981F57" w:rsidRDefault="00981F57" w:rsidP="00981F57">
      <w:pPr>
        <w:pStyle w:val="a3"/>
        <w:spacing w:line="360" w:lineRule="auto"/>
        <w:ind w:left="786"/>
        <w:jc w:val="both"/>
        <w:rPr>
          <w:rFonts w:ascii="Arial" w:hAnsi="Arial"/>
          <w:b/>
          <w:bCs/>
          <w:noProof w:val="0"/>
        </w:rPr>
      </w:pPr>
      <w:r>
        <w:rPr>
          <w:rFonts w:ascii="Arial" w:hAnsi="Arial"/>
          <w:b/>
          <w:bCs/>
          <w:noProof w:val="0"/>
          <w:rtl/>
        </w:rPr>
        <w:t xml:space="preserve">"החלטה אחרת של בית משפט שלום בענין אזרחי ניתנת לערעור לפני בית משפט מחוזי, אם ניתנה רשות לכך מאת שופט של בית המשפט המחוזי. רשות כאמור בסעיף קטן זה לגבי החלטה אחרת תינתן אם שוכנע בית המשפט כי אם הערעור על ההחלטה יידון במסגרת הערעור על פסק הדין ולא באופן מיידי, יהיה בכך כדי להשפיע באופן ממשי על זכויות הצדדים או שעלול להיגרם לצד להליך נזק של ממש, או שעלול להתנהל הליך מיותר או בדרך שגויה".   </w:t>
      </w:r>
    </w:p>
    <w:p w:rsidR="00981F57" w:rsidRDefault="00981F57" w:rsidP="00981F57">
      <w:pPr>
        <w:pStyle w:val="a3"/>
        <w:rPr>
          <w:rFonts w:ascii="Arial" w:hAnsi="Arial"/>
          <w:b/>
          <w:bCs/>
          <w:noProof w:val="0"/>
          <w:rtl/>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t>עינינו הרואות, כי המחוקק הראשי מורנו, שדרך המלך היא ערעור על החלטת הביניים במסגרת ערעור על פסק הדין, אלא אם מתקיימים התנאים שהותוו על ידו לסטייה מן הכלל האמור.</w:t>
      </w:r>
    </w:p>
    <w:p w:rsidR="00981F57" w:rsidRDefault="00981F57" w:rsidP="00981F57">
      <w:pPr>
        <w:pStyle w:val="a3"/>
        <w:spacing w:line="360" w:lineRule="auto"/>
        <w:jc w:val="both"/>
        <w:rPr>
          <w:rFonts w:ascii="Arial" w:hAnsi="Arial"/>
          <w:noProof w:val="0"/>
        </w:rPr>
      </w:pPr>
    </w:p>
    <w:p w:rsidR="00981F57" w:rsidRDefault="00981F57" w:rsidP="00981F57">
      <w:pPr>
        <w:pStyle w:val="a3"/>
        <w:spacing w:line="360" w:lineRule="auto"/>
        <w:jc w:val="both"/>
        <w:rPr>
          <w:rFonts w:ascii="Arial" w:hAnsi="Arial"/>
          <w:noProof w:val="0"/>
          <w:rtl/>
        </w:rPr>
      </w:pPr>
      <w:r>
        <w:rPr>
          <w:rFonts w:ascii="Arial" w:hAnsi="Arial"/>
          <w:noProof w:val="0"/>
          <w:rtl/>
        </w:rPr>
        <w:t xml:space="preserve">בית המשפט העליון (כב' השופט י. עמית) הביע דעתו על פיה לשון ההוראה מלמד, כי תכליתה היא צמצום האפשרות של הגשת בקשות רשות ערעור, שעה שהדבר גורם לרוב לפיצול הדיון, להשהייתו ולסיבוכו. לדידו, השימוש במילים "אם שוכנע בית המשפט" מלמד, כי המחוקק הציב רף גבוה מזה שהיה בעבר לצורך מתן רשות ערעור, וכל זאת כחלק מן המגמה הכללית לצמצום העומס המוטל על ערכאת הערעור, מניעת הפיצול בבירור ההליך המשפטי ומניעת עיכוב בהתקדמותו (רע"א 368/13 </w:t>
      </w:r>
      <w:r>
        <w:rPr>
          <w:rFonts w:ascii="Arial" w:hAnsi="Arial"/>
          <w:b/>
          <w:bCs/>
          <w:noProof w:val="0"/>
          <w:rtl/>
        </w:rPr>
        <w:t xml:space="preserve">הרשות הפלסטינית נ' ליטבק נורזי'ק ואח', </w:t>
      </w:r>
      <w:r>
        <w:rPr>
          <w:rFonts w:ascii="Arial" w:hAnsi="Arial"/>
          <w:noProof w:val="0"/>
          <w:rtl/>
        </w:rPr>
        <w:t xml:space="preserve">פורסם במאגרים  האלקטרוניים).    </w:t>
      </w:r>
    </w:p>
    <w:p w:rsidR="00981F57" w:rsidRDefault="00981F57" w:rsidP="00981F57">
      <w:pPr>
        <w:pStyle w:val="a3"/>
        <w:spacing w:line="360" w:lineRule="auto"/>
        <w:ind w:left="786"/>
        <w:jc w:val="both"/>
        <w:rPr>
          <w:rFonts w:ascii="Arial" w:hAnsi="Arial"/>
          <w:noProof w:val="0"/>
          <w:rtl/>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lastRenderedPageBreak/>
        <w:t xml:space="preserve">הנה כי כן וברוח הוראת החוק האמורה והרציונל שבבסיסה, הלך ונתגבש בפסיקה הכלל לפיו, ערכאת הערעור לא תיטה להתערב בהחלטות ביניים של הערכאה הדיונית, וככלל ייעשה הדבר במסגרת הערעור על פסק הדין אלא אם עלה בידי מבקש רשות הערעור להראות, כי דחיית הבירור באותה השגה על החלטת הביניים לשלב הערעור על פסק הדין עלולה לגרום לו נזק ממשי, וכי הערכאה הדיונית טעתה טעות ברורה והתעלמה משיקולים מרכזיים שהייתה צריכה לתת דעתה עליהם [ראו למשל: רמ"ש (חיפה) 7867-03-14 </w:t>
      </w:r>
      <w:r>
        <w:rPr>
          <w:rFonts w:ascii="Arial" w:hAnsi="Arial"/>
          <w:b/>
          <w:bCs/>
          <w:noProof w:val="0"/>
          <w:rtl/>
        </w:rPr>
        <w:t>פלוני נ' א.א</w:t>
      </w:r>
      <w:r>
        <w:rPr>
          <w:rFonts w:ascii="Arial" w:hAnsi="Arial"/>
          <w:noProof w:val="0"/>
          <w:rtl/>
        </w:rPr>
        <w:t>, פורסם במאגרים האלקטרוניים].</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t xml:space="preserve">כפי שיובהר להלן, לא מצאתי, כי נסיבות המקרה דנא באות בגדר החריג לכלל וכי יש בהן להצדיק התערבות בשיקול הדעת של הערכאה הדיונית ובהחלטתה.  </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t>מן המובא לעיל עולה, כי למחלוקת בין הצדדים, שבלב הבקשה דנא שני רבדים, אשר ניתן לראותם כראשי וכמשני: הראשי, עניינו תקפו של הסכם הממון (ככל שיקבע כי הוא להגדרה זו) שנחתם בין הצדדים ערב נישואיהם, והמשני עניינו טיב חשבון הבנק הרשום על שמם – האם משותף הוא או שמא שייך למשיב בלבד.</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t>למען פישוט הדברים ומבלי שיש בכך משום הבעת עמדה ו/או נטיעת מסמרות בעניין טיבו של ההסכם שבלב הדיון,  הוא יקרא להלן, נוכח כותרתו "הסכם ממון".</w:t>
      </w:r>
    </w:p>
    <w:p w:rsidR="00981F57" w:rsidRDefault="00981F57" w:rsidP="00981F57">
      <w:pPr>
        <w:pStyle w:val="a3"/>
        <w:rPr>
          <w:rFonts w:ascii="Arial" w:hAnsi="Arial"/>
          <w:noProof w:val="0"/>
        </w:rPr>
      </w:pPr>
    </w:p>
    <w:p w:rsidR="00981F57" w:rsidRDefault="00981F57" w:rsidP="00981F57">
      <w:pPr>
        <w:pStyle w:val="a3"/>
        <w:spacing w:line="360" w:lineRule="auto"/>
        <w:jc w:val="both"/>
        <w:rPr>
          <w:rFonts w:ascii="Arial" w:hAnsi="Arial"/>
          <w:noProof w:val="0"/>
          <w:rtl/>
        </w:rPr>
      </w:pPr>
      <w:r>
        <w:rPr>
          <w:rFonts w:ascii="Arial" w:hAnsi="Arial"/>
          <w:noProof w:val="0"/>
          <w:rtl/>
        </w:rPr>
        <w:t>מעיון בהסכם הממון עולה, כי, בין השאר, הוגדרו במסגרתו נכסים וזכויות לגביהם הוסכם כי יוחרגו ממסת הנכסים בני האיזון, ככל שתקום זכות לאיזון המשאבים, אשר אף היא הוגדרה בהסכם (בהיבט של העיתוי), לרבות זכויות תחלוף ועקיבה לגביהם; וכי לא נשללה באמצעותו הזכות לאיזון משאבים בנוגע לנכסים שלא הוחרגו במסגרתו ממסת הנכסים בני האיזון (סעיף 16 להסכם).</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t>הנה כי כן נראה, על פניו, שזולת ההכרעה בטענות הצדדים בעניין תקפו של הסכם הממון, תידרש הכרעה גם בעניין מסת הנכסים בני האיזון.</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t xml:space="preserve">כן נראה, מעיון בכתבי בי הדין של הצדדים באשר הוגשו לבית המשפט קמא, כי טענות הצדדים שניהם בעניין קיומו (גם הפיזי), בעניין תקפו ו/או בעניין הליך האישור של הסכם הממון לא היו עקביות. </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t xml:space="preserve">היא הנותנת, אפוא, כי עניין לנו במחלוקת מהותית וכבדת משקל, שיש לבררה כדבעי ולהכריע בה טרם מתן הוראות אופרטיביות בעניין איזון המשאבים שהן, כידוע וכשם שנקבע בסעיף 6 לחוק יחסי ממון בין בני זוג, תשל"ג-1973 (להלן: </w:t>
      </w:r>
      <w:r>
        <w:rPr>
          <w:rFonts w:ascii="Arial" w:hAnsi="Arial"/>
          <w:b/>
          <w:bCs/>
          <w:noProof w:val="0"/>
          <w:rtl/>
        </w:rPr>
        <w:t>"חוק יחסי ממון"</w:t>
      </w:r>
      <w:r>
        <w:rPr>
          <w:rFonts w:ascii="Arial" w:hAnsi="Arial"/>
          <w:noProof w:val="0"/>
          <w:rtl/>
        </w:rPr>
        <w:t>), בבחינת "השורה התחתונה" לאחר שהוגדרה מסת הנכסים בני איזון והוערך שווים.</w:t>
      </w:r>
    </w:p>
    <w:p w:rsidR="00981F57" w:rsidRDefault="00981F57" w:rsidP="00981F57">
      <w:pPr>
        <w:pStyle w:val="a3"/>
        <w:rPr>
          <w:rFonts w:ascii="Arial" w:hAnsi="Arial"/>
          <w:noProof w:val="0"/>
        </w:rPr>
      </w:pPr>
    </w:p>
    <w:p w:rsidR="00981F57" w:rsidRPr="008040F3" w:rsidRDefault="00981F57" w:rsidP="00981F57">
      <w:pPr>
        <w:pStyle w:val="a3"/>
        <w:spacing w:line="360" w:lineRule="auto"/>
        <w:ind w:left="794"/>
        <w:jc w:val="both"/>
        <w:rPr>
          <w:rFonts w:ascii="Arial" w:hAnsi="Arial"/>
          <w:noProof w:val="0"/>
          <w:rtl/>
        </w:rPr>
      </w:pPr>
      <w:r>
        <w:rPr>
          <w:rFonts w:ascii="Arial" w:hAnsi="Arial"/>
          <w:noProof w:val="0"/>
          <w:rtl/>
        </w:rPr>
        <w:t>אין צורך להכביר מלים בעניין אופיו של הסדר איזון המשאבים, אך פטור בלא כלום אי אפשר, ובנידון דידן נציין רק, כי בחוק יחסי ממון בחר המחוקק בשיטת השיתוף הדחוי, אשר משמעותה היא הפרדה מוחלטת של נכסי בני הזוג במהלך הנישואין (</w:t>
      </w:r>
      <w:hyperlink r:id="rId8" w:history="1">
        <w:r w:rsidRPr="008040F3">
          <w:rPr>
            <w:rStyle w:val="Hyperlink"/>
            <w:rFonts w:ascii="Arial" w:hAnsi="Arial"/>
            <w:noProof w:val="0"/>
            <w:color w:val="auto"/>
            <w:u w:val="none"/>
            <w:rtl/>
          </w:rPr>
          <w:t>סעיף 4</w:t>
        </w:r>
      </w:hyperlink>
      <w:r>
        <w:rPr>
          <w:rFonts w:ascii="Arial" w:hAnsi="Arial"/>
          <w:noProof w:val="0"/>
          <w:rtl/>
        </w:rPr>
        <w:t xml:space="preserve"> </w:t>
      </w:r>
      <w:r>
        <w:rPr>
          <w:rFonts w:ascii="Arial" w:hAnsi="Arial" w:hint="cs"/>
          <w:noProof w:val="0"/>
          <w:rtl/>
        </w:rPr>
        <w:t xml:space="preserve">לחוק), </w:t>
      </w:r>
      <w:r>
        <w:rPr>
          <w:rFonts w:ascii="Arial" w:hAnsi="Arial" w:hint="cs"/>
          <w:noProof w:val="0"/>
          <w:rtl/>
        </w:rPr>
        <w:lastRenderedPageBreak/>
        <w:t>כאשר עם פקיעת הנישואין מתחלק ביניהם הרכוש על פי שווים של כלל נכסיהם, למעט נכסים מסוימים המפורטים בחוק (</w:t>
      </w:r>
      <w:hyperlink r:id="rId9" w:history="1">
        <w:r w:rsidRPr="008040F3">
          <w:rPr>
            <w:rStyle w:val="Hyperlink"/>
            <w:rFonts w:ascii="Arial" w:hAnsi="Arial"/>
            <w:noProof w:val="0"/>
            <w:color w:val="auto"/>
            <w:u w:val="none"/>
            <w:rtl/>
          </w:rPr>
          <w:t>סעיף 5).</w:t>
        </w:r>
      </w:hyperlink>
      <w:r>
        <w:rPr>
          <w:rFonts w:ascii="Arial" w:hAnsi="Arial"/>
          <w:noProof w:val="0"/>
          <w:rtl/>
        </w:rPr>
        <w:t xml:space="preserve"> האיזון נעשה על דרך שומת נכסיו של כל אחד מבני הזוג ותשלום ההפרש (</w:t>
      </w:r>
      <w:hyperlink r:id="rId10" w:history="1">
        <w:r w:rsidRPr="008040F3">
          <w:rPr>
            <w:rStyle w:val="Hyperlink"/>
            <w:rFonts w:ascii="Arial" w:hAnsi="Arial"/>
            <w:noProof w:val="0"/>
            <w:color w:val="auto"/>
            <w:u w:val="none"/>
            <w:rtl/>
          </w:rPr>
          <w:t>סעיף 6).</w:t>
        </w:r>
      </w:hyperlink>
    </w:p>
    <w:p w:rsidR="00981F57" w:rsidRDefault="00981F57" w:rsidP="00981F57">
      <w:pPr>
        <w:pStyle w:val="a3"/>
        <w:spacing w:line="360" w:lineRule="auto"/>
        <w:ind w:left="794"/>
        <w:jc w:val="both"/>
        <w:rPr>
          <w:rFonts w:ascii="Arial" w:hAnsi="Arial"/>
          <w:noProof w:val="0"/>
        </w:rPr>
      </w:pPr>
      <w:r>
        <w:rPr>
          <w:rFonts w:ascii="Arial" w:hAnsi="Arial"/>
          <w:noProof w:val="0"/>
          <w:rtl/>
        </w:rPr>
        <w:t xml:space="preserve">ראו למשל: </w:t>
      </w:r>
      <w:hyperlink r:id="rId11" w:history="1">
        <w:r w:rsidRPr="008040F3">
          <w:rPr>
            <w:rStyle w:val="Hyperlink"/>
            <w:rFonts w:ascii="Arial" w:hAnsi="Arial"/>
            <w:noProof w:val="0"/>
            <w:color w:val="auto"/>
            <w:u w:val="none"/>
            <w:rtl/>
          </w:rPr>
          <w:t xml:space="preserve">רע"א 8672/00 </w:t>
        </w:r>
        <w:r w:rsidRPr="008040F3">
          <w:rPr>
            <w:rStyle w:val="Hyperlink"/>
            <w:rFonts w:ascii="Arial" w:hAnsi="Arial"/>
            <w:b/>
            <w:bCs/>
            <w:noProof w:val="0"/>
            <w:color w:val="auto"/>
            <w:u w:val="none"/>
            <w:rtl/>
          </w:rPr>
          <w:t>אבו רומי נ' אבו רומי</w:t>
        </w:r>
        <w:r w:rsidRPr="008040F3">
          <w:rPr>
            <w:rStyle w:val="Hyperlink"/>
            <w:rFonts w:ascii="Arial" w:hAnsi="Arial"/>
            <w:noProof w:val="0"/>
            <w:color w:val="auto"/>
            <w:u w:val="none"/>
            <w:rtl/>
          </w:rPr>
          <w:t>, פ"ד נו</w:t>
        </w:r>
      </w:hyperlink>
      <w:r w:rsidRPr="008040F3">
        <w:rPr>
          <w:rFonts w:ascii="Arial" w:hAnsi="Arial"/>
          <w:noProof w:val="0"/>
          <w:rtl/>
        </w:rPr>
        <w:t>(</w:t>
      </w:r>
      <w:r>
        <w:rPr>
          <w:rFonts w:ascii="Arial" w:hAnsi="Arial"/>
          <w:noProof w:val="0"/>
          <w:rtl/>
        </w:rPr>
        <w:t>6)175.</w:t>
      </w:r>
    </w:p>
    <w:p w:rsidR="00981F57" w:rsidRDefault="00981F57" w:rsidP="00981F57">
      <w:pPr>
        <w:pStyle w:val="a3"/>
        <w:spacing w:line="360" w:lineRule="auto"/>
        <w:ind w:left="794"/>
        <w:jc w:val="both"/>
        <w:rPr>
          <w:rFonts w:ascii="Arial" w:hAnsi="Arial"/>
          <w:noProof w:val="0"/>
          <w:rtl/>
        </w:rPr>
      </w:pPr>
    </w:p>
    <w:p w:rsidR="00981F57" w:rsidRDefault="00981F57" w:rsidP="00981F57">
      <w:pPr>
        <w:pStyle w:val="a3"/>
        <w:spacing w:line="360" w:lineRule="auto"/>
        <w:jc w:val="both"/>
        <w:rPr>
          <w:rFonts w:ascii="Arial" w:hAnsi="Arial"/>
          <w:noProof w:val="0"/>
          <w:rtl/>
        </w:rPr>
      </w:pPr>
      <w:r>
        <w:rPr>
          <w:rFonts w:ascii="Arial" w:hAnsi="Arial"/>
          <w:noProof w:val="0"/>
          <w:rtl/>
        </w:rPr>
        <w:t xml:space="preserve">כל זאת, כמובן, כפוף לכך שבני זוג לא עשו הסכם ממון, וככל שעשו – במידה שהוא אינו קובע אחרת [סעיף 3(א)].   </w:t>
      </w:r>
    </w:p>
    <w:p w:rsidR="00981F57" w:rsidRDefault="00981F57" w:rsidP="00981F57">
      <w:pPr>
        <w:pStyle w:val="a3"/>
        <w:spacing w:line="360" w:lineRule="auto"/>
        <w:jc w:val="both"/>
        <w:rPr>
          <w:rFonts w:ascii="Arial" w:hAnsi="Arial"/>
          <w:noProof w:val="0"/>
          <w:rtl/>
        </w:rPr>
      </w:pPr>
    </w:p>
    <w:p w:rsidR="00981F57" w:rsidRDefault="00981F57" w:rsidP="00981F57">
      <w:pPr>
        <w:pStyle w:val="a3"/>
        <w:spacing w:line="360" w:lineRule="auto"/>
        <w:jc w:val="both"/>
        <w:rPr>
          <w:rFonts w:ascii="Arial" w:hAnsi="Arial"/>
          <w:noProof w:val="0"/>
          <w:rtl/>
        </w:rPr>
      </w:pPr>
      <w:r>
        <w:rPr>
          <w:rFonts w:ascii="Arial" w:hAnsi="Arial"/>
          <w:noProof w:val="0"/>
          <w:rtl/>
        </w:rPr>
        <w:t>לשון אחר: הסדר איזון המשאבים הוא הסדר שיורי מקום בו בני זוג שנישאו לאחר 01.01.1974 לא ערכו הסכם ממון המסדיר יחסיהם הרכושיים עם פקיעת נישואיהם.</w:t>
      </w:r>
    </w:p>
    <w:p w:rsidR="00981F57" w:rsidRDefault="00981F57" w:rsidP="00981F57">
      <w:pPr>
        <w:pStyle w:val="a3"/>
        <w:spacing w:line="360" w:lineRule="auto"/>
        <w:jc w:val="both"/>
        <w:rPr>
          <w:rFonts w:ascii="Arial" w:hAnsi="Arial"/>
          <w:noProof w:val="0"/>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t>כך או כך, במקרה דנא, כאמור, מונחות לפתחה של הערכאה הדיונית מחלוקות בין הצדדים, שטענותיהם, כאמור, קוטביות, והיא נדרשת להכריע בהן טרם הכרעה בעניין שווים של הנכסים בני האיזון, ככל שישנם, וביצוע ההתחשבנות בין הצדדים בהתאם לנוסחה הקבועה בסעיפים 6(א) ו- 6(ב) לחוק יחסי ממון.</w:t>
      </w:r>
    </w:p>
    <w:p w:rsidR="00981F57" w:rsidRDefault="00981F57" w:rsidP="00981F57">
      <w:pPr>
        <w:pStyle w:val="a3"/>
        <w:spacing w:line="360" w:lineRule="auto"/>
        <w:jc w:val="both"/>
        <w:rPr>
          <w:rFonts w:ascii="Arial" w:hAnsi="Arial"/>
          <w:noProof w:val="0"/>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t xml:space="preserve">בראי כלל הנסיבות האופפות פרשה זו שלפנינו, לא מצאתי, כי נפלה שגגה בהחלטת הערכאה הדיונית לדחות עתירת המבקשת לביצוע איזון משאבים חלקי ובכך לרתום, למעשה, העגלה לפני הסוסים.  </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t xml:space="preserve">החלטה זו עולה בקנה אחד עם ההלכה הפסוקה לפיה ככלל יש להימנע מביצוע איזון המשאבים בשלבים, בהינתן כי עמדת המחוקק ותכלית חוק יחסי ממון ברורה – איזון </w:t>
      </w:r>
      <w:r>
        <w:rPr>
          <w:rFonts w:ascii="Arial" w:hAnsi="Arial"/>
          <w:noProof w:val="0"/>
          <w:u w:val="single"/>
          <w:rtl/>
        </w:rPr>
        <w:t xml:space="preserve">בכלל </w:t>
      </w:r>
      <w:r>
        <w:rPr>
          <w:rFonts w:ascii="Arial" w:hAnsi="Arial"/>
          <w:noProof w:val="0"/>
          <w:rtl/>
        </w:rPr>
        <w:t xml:space="preserve">הנכסים שיש להביא בגדרו (ע"א 1229/90 </w:t>
      </w:r>
      <w:r>
        <w:rPr>
          <w:rFonts w:ascii="Arial" w:hAnsi="Arial"/>
          <w:b/>
          <w:bCs/>
          <w:noProof w:val="0"/>
          <w:rtl/>
        </w:rPr>
        <w:t xml:space="preserve">דורותי חנוך נ' יגאל חנוך, </w:t>
      </w:r>
      <w:r>
        <w:rPr>
          <w:rFonts w:ascii="Arial" w:hAnsi="Arial"/>
          <w:noProof w:val="0"/>
          <w:rtl/>
        </w:rPr>
        <w:t xml:space="preserve">פ"ד מה(5) 584).  </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t>אמנם בהעדר הסכמה בין בני הזוג בעניין אופן ביצוע האיזון הקנה המחוקק לערכאה הדיונית סמכויות נוספות, ובהן קביעת מועדי הביצוע, הבטחתו ושאר תנאיו, תוך התחשבות בכלל הנסיבות, לרבות מצבו הכלכלי של כל אחד מבני הזוג [סעיפים 6(ג) ו-6(ד) לחוק יחסי ממון], אולם דרך המלך היא, כאמור, ביצוע האיזון באופן כולל ולא באופן חלקי או בשלבים.</w:t>
      </w:r>
    </w:p>
    <w:p w:rsidR="00981F57" w:rsidRDefault="00981F57" w:rsidP="00981F57">
      <w:pPr>
        <w:pStyle w:val="a3"/>
        <w:rPr>
          <w:rFonts w:ascii="Arial" w:hAnsi="Arial"/>
          <w:noProof w:val="0"/>
        </w:rPr>
      </w:pPr>
    </w:p>
    <w:p w:rsidR="00981F57" w:rsidRDefault="00981F57" w:rsidP="00981F57">
      <w:pPr>
        <w:pStyle w:val="a3"/>
        <w:spacing w:line="360" w:lineRule="auto"/>
        <w:jc w:val="both"/>
        <w:rPr>
          <w:rFonts w:ascii="Arial" w:hAnsi="Arial"/>
          <w:noProof w:val="0"/>
          <w:rtl/>
        </w:rPr>
      </w:pPr>
      <w:r>
        <w:rPr>
          <w:rFonts w:ascii="Arial" w:hAnsi="Arial"/>
          <w:noProof w:val="0"/>
          <w:rtl/>
        </w:rPr>
        <w:t xml:space="preserve">כך, למשל, עשוי בית המשפט לסטות מעקרון זה, בין בדרך של איזון חלקי ובין בדרך של פסיקת תשלומים על חשבון האיזון הסופי כאשר הדבר עשוי לייעל ההליכים, להביא לסיום הסכסוך, לצמצום פערים במצבם הכלכלי של הצדדים או כאשר דחיית האיזון עלולה להכביד על אחד הצדדים באופן בלתי מידתי, בפרט כאשר מדובר בסכסוך מורכב שקצו רחוק (ראו והשוו: רמ"ש (חיפה) 64208-12-16 </w:t>
      </w:r>
      <w:r>
        <w:rPr>
          <w:rFonts w:ascii="Arial" w:hAnsi="Arial"/>
          <w:b/>
          <w:bCs/>
          <w:noProof w:val="0"/>
          <w:rtl/>
        </w:rPr>
        <w:t>י.ז. נ' ס.ש.</w:t>
      </w:r>
      <w:r>
        <w:rPr>
          <w:rFonts w:ascii="Arial" w:hAnsi="Arial"/>
          <w:noProof w:val="0"/>
          <w:rtl/>
        </w:rPr>
        <w:t xml:space="preserve">, פורסם במאגרים האלקטרוניים). </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t xml:space="preserve">על יסוד האמור בחינת העתירה לאיזון חלקי או לתשלום על חשבון האיזון הסופי תיעשה דרך הפריזמה של טיב והיקף הזכות לאיזון משאבים; של מצבו הכלכלי של מבקש הסעד </w:t>
      </w:r>
      <w:r>
        <w:rPr>
          <w:rFonts w:ascii="Arial" w:hAnsi="Arial"/>
          <w:noProof w:val="0"/>
          <w:rtl/>
        </w:rPr>
        <w:lastRenderedPageBreak/>
        <w:t>לרבות ביחס לזה של הצד שכנגד; ושל אופי ההליך, משכו הצפוי והתנהלות הצדדים בו עד כה.</w:t>
      </w:r>
    </w:p>
    <w:p w:rsidR="00981F57" w:rsidRDefault="00981F57" w:rsidP="00981F57">
      <w:pPr>
        <w:pStyle w:val="a3"/>
        <w:spacing w:line="360" w:lineRule="auto"/>
        <w:jc w:val="both"/>
        <w:rPr>
          <w:rFonts w:ascii="Arial" w:hAnsi="Arial"/>
          <w:noProof w:val="0"/>
        </w:rPr>
      </w:pPr>
      <w:r>
        <w:rPr>
          <w:rFonts w:ascii="Arial" w:hAnsi="Arial"/>
          <w:noProof w:val="0"/>
          <w:rtl/>
        </w:rPr>
        <w:t xml:space="preserve"> </w:t>
      </w: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u w:val="single"/>
          <w:rtl/>
        </w:rPr>
        <w:t>באשר לטיב ולהיקף הזכות לאיזון משאבים</w:t>
      </w:r>
      <w:r>
        <w:rPr>
          <w:rFonts w:ascii="Arial" w:hAnsi="Arial"/>
          <w:noProof w:val="0"/>
          <w:rtl/>
        </w:rPr>
        <w:t xml:space="preserve"> – כאמור, זהו סלע המחלוקת בין הצדדים, והיא טעונה, כמובן, הכרעה, ובית המשפט קמא מצא שיש להכריע בה תחילה וקודם להערכת שווים של הנכסים שבמחלוקת. בהקשר זה יוער, כי בחירת המבקשת להקדיש חלק נכבד מטיעוניה בבקשה שלפנינו לפן העובדתי-ראייתי בשאלת תקפו של הסכם הממון, מחזקת המסקנה, כי בדין נקבע בהחלטה נושא דיוננו, שטענות הצדדים בסוגיה זו טעונות בירור עובדתי ושמיעת ראיות. יתר על כן, טענות הצדדים בסוגיה מהותית זו הן כולן ברובד העובדתי, ואכן ההכרעה בהן טעונה שמיעת ראיות ויכול שאף מינוי מומחה לבחינת טענת הזיוף שנטענה ע"י המבקשת;</w:t>
      </w:r>
    </w:p>
    <w:p w:rsidR="00981F57" w:rsidRDefault="00981F57" w:rsidP="00981F57">
      <w:pPr>
        <w:pStyle w:val="a3"/>
        <w:spacing w:line="360" w:lineRule="auto"/>
        <w:jc w:val="both"/>
        <w:rPr>
          <w:rFonts w:ascii="Arial" w:hAnsi="Arial"/>
          <w:noProof w:val="0"/>
        </w:rPr>
      </w:pPr>
      <w:r>
        <w:rPr>
          <w:rFonts w:ascii="Arial" w:hAnsi="Arial"/>
          <w:noProof w:val="0"/>
          <w:u w:val="single"/>
          <w:rtl/>
        </w:rPr>
        <w:t>באשר למצבה הכלכלי של המבקשת</w:t>
      </w:r>
      <w:r>
        <w:rPr>
          <w:rFonts w:ascii="Arial" w:hAnsi="Arial"/>
          <w:noProof w:val="0"/>
          <w:rtl/>
        </w:rPr>
        <w:t xml:space="preserve"> – אף שלטענתה היא סובלת ממצוקה כלכלית, לא הוצגה על ידה כל ראיה לתמיכה בטענותיה, ויתר על כן – לטענתה בבעלותה זכויות בדירה ששווין, שאינו נמוך, העשוי לשמש כבטוחה להשבת כספים למשיב ככל שטענותיה תדחינה ויתברר בדיעבד שלא היה מקום לתשלום על חשבון איזון המשאבים. אם כך הם פני הדברים, לא ברור מהו היתרון הגלום באיזון משאבים חלקי תוך סטייה מן הכלל הקבוע בדין על פני שימוש באותה בטוחה לצורך גיוס ההון הדרוש למבקשת, ככל שדרוש, בעת הזו למימון הוצאותיה; </w:t>
      </w:r>
    </w:p>
    <w:p w:rsidR="00981F57" w:rsidRDefault="00981F57" w:rsidP="00981F57">
      <w:pPr>
        <w:pStyle w:val="a3"/>
        <w:spacing w:line="360" w:lineRule="auto"/>
        <w:jc w:val="both"/>
        <w:rPr>
          <w:rFonts w:ascii="Arial" w:hAnsi="Arial"/>
          <w:noProof w:val="0"/>
          <w:rtl/>
        </w:rPr>
      </w:pPr>
      <w:r>
        <w:rPr>
          <w:rFonts w:ascii="Arial" w:hAnsi="Arial"/>
          <w:noProof w:val="0"/>
          <w:u w:val="single"/>
          <w:rtl/>
        </w:rPr>
        <w:t>ובאשר לאופן ניהול ההליך המשפטי</w:t>
      </w:r>
      <w:r>
        <w:rPr>
          <w:rFonts w:ascii="Arial" w:hAnsi="Arial"/>
          <w:noProof w:val="0"/>
          <w:rtl/>
        </w:rPr>
        <w:t xml:space="preserve"> – מעיון בתיק המתנהל בבית המשפט קמא לא מצאתי ממש, נכון לעת הזו לפחות, בטענות המבקשת לפיהן המשיב מעכב בירור ההליך. אמנם הוגשו על ידו בקשות לסילוק על הסף (שנדחו), אולם, הגשתן לא האטה תנועת גלגלי ההליך. בתוך כך יצוין, כי אף אחד ממועד הדיון שנקבעו ע"י בית המשפט קמא לא נדחה בעטיו של המשיב, וכי הגם שהוגשו על ידי הצדדים בקשות רבות (ההליך נפתח בחודש יוני אשתקד ובתיק כבר 339 מסמכים), ההליך מתנהל בקצב ראוי, ואף התקיימו בו כבר ארבעה דיונים, ובית המשפט נדרש למספר לא מבוטל של החלטות מהותיות שניתנו תוך זמן סביר בהחלט וללא כל עיכוב. בנוסף וכפי שצוין לעיל, קבוע דיון נוסף בהליך, כישיבת קדם משפט מסכם לאחר הגשת תצהירי עדות ראשית, בעוד פחות מחודש ימים – ביום 12.12.2023. </w:t>
      </w:r>
    </w:p>
    <w:p w:rsidR="00981F57" w:rsidRDefault="00981F57" w:rsidP="00981F57">
      <w:pPr>
        <w:pStyle w:val="a3"/>
        <w:rPr>
          <w:rFonts w:ascii="Arial" w:hAnsi="Arial"/>
          <w:noProof w:val="0"/>
          <w:rtl/>
        </w:rPr>
      </w:pP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t xml:space="preserve">הנה כי כן,  ועל פי הפרמטרים האמורים, לא עלה בידי המבקשת להרים הנטל המוטל עליה לביסוס הבקשה לאיזון משאבים חלקי ו/או לקבלת תשלום על חשבון תשלומי האיזון. </w:t>
      </w:r>
    </w:p>
    <w:p w:rsidR="00981F57" w:rsidRDefault="00981F57" w:rsidP="00981F57">
      <w:pPr>
        <w:pStyle w:val="a3"/>
        <w:rPr>
          <w:rFonts w:ascii="Arial" w:hAnsi="Arial"/>
          <w:noProof w:val="0"/>
        </w:rPr>
      </w:pPr>
    </w:p>
    <w:p w:rsidR="00981F57" w:rsidRDefault="00981F57" w:rsidP="00981F57">
      <w:pPr>
        <w:pStyle w:val="1"/>
        <w:numPr>
          <w:ilvl w:val="0"/>
          <w:numId w:val="1"/>
        </w:numPr>
        <w:spacing w:line="360" w:lineRule="auto"/>
        <w:jc w:val="both"/>
        <w:rPr>
          <w:rFonts w:ascii="David" w:hAnsi="David"/>
          <w:noProof w:val="0"/>
          <w:rtl/>
        </w:rPr>
      </w:pPr>
      <w:r>
        <w:rPr>
          <w:rFonts w:ascii="David" w:hAnsi="David"/>
          <w:noProof w:val="0"/>
          <w:rtl/>
        </w:rPr>
        <w:t xml:space="preserve">לא מצאתי לקבל גם טענות המבקשת כנגד היקף ואיכות ההנמקה של החלטת בית המשפט קמא. אמנם מדובר בהחלטה קצרה ותמציתית, אך היא אינה ניצבת בחלל ריק. כאמור, ההליך בבית המשפט קמא  מתנהל באינטנסיביות והוא נדרש כבר למספר לא מבוטל של החלטות ביניים הנובעות ממקור אחד – שאלת תקפו של הסכם הממון וכפועל יוצא ממנה – היקף פרישתה של הזכות לאיזון המשאבים והנכסים שיבואו בגדרה, ככל שיבואו. כך, למשל, ניתנה על ידו ביום 19.06.2023 החלטה מפורטת ומנומקת בעתירת המבקשת לחלוקת הכספים המוחזקים בחשבון הבנק הרשום על שם הצדדים. אף שהסעד שנתבקש שונה לכאורה, נימוקי בית המשפט דומים ונשענים על אדנים זהים – התפישה, אשר עוברת </w:t>
      </w:r>
      <w:r>
        <w:rPr>
          <w:rFonts w:ascii="David" w:hAnsi="David"/>
          <w:noProof w:val="0"/>
          <w:rtl/>
        </w:rPr>
        <w:lastRenderedPageBreak/>
        <w:t xml:space="preserve">כחוט השני לאורך ההליך עד כה, כי נדרשת הכרעה בכל הפלוגתאות בין הצדדים לאחר שתיפרש בפניו מלוא התמונה ולא בשלבים או בהתייחס לנכס כזה או אחר בנפרד.  </w:t>
      </w:r>
    </w:p>
    <w:p w:rsidR="00981F57" w:rsidRDefault="00981F57" w:rsidP="00981F57">
      <w:pPr>
        <w:pStyle w:val="1"/>
        <w:spacing w:line="360" w:lineRule="auto"/>
        <w:jc w:val="both"/>
        <w:rPr>
          <w:rFonts w:ascii="David" w:hAnsi="David"/>
          <w:noProof w:val="0"/>
        </w:rPr>
      </w:pPr>
      <w:r>
        <w:rPr>
          <w:rFonts w:ascii="David" w:hAnsi="David"/>
          <w:noProof w:val="0"/>
          <w:rtl/>
        </w:rPr>
        <w:t xml:space="preserve">הוא הדין גם בהתייחס להחלטה מיום 17.04.2023 בבקשת המשיב לפיצול הדיון בהליך (כך שתחילה תתברר שאלת תקפו של ההסכם ולאחר מכן הדיון בתובענה גופה), אשר נדחתה. </w:t>
      </w:r>
    </w:p>
    <w:p w:rsidR="00981F57" w:rsidRDefault="00981F57" w:rsidP="00981F57">
      <w:pPr>
        <w:pStyle w:val="a3"/>
        <w:rPr>
          <w:rFonts w:ascii="David" w:hAnsi="David"/>
          <w:noProof w:val="0"/>
        </w:rPr>
      </w:pPr>
    </w:p>
    <w:p w:rsidR="00981F57" w:rsidRDefault="00981F57" w:rsidP="00981F57">
      <w:pPr>
        <w:pStyle w:val="1"/>
        <w:spacing w:line="360" w:lineRule="auto"/>
        <w:jc w:val="both"/>
        <w:rPr>
          <w:rFonts w:ascii="David" w:hAnsi="David"/>
          <w:noProof w:val="0"/>
          <w:rtl/>
        </w:rPr>
      </w:pPr>
      <w:r>
        <w:rPr>
          <w:rFonts w:ascii="David" w:hAnsi="David"/>
          <w:noProof w:val="0"/>
          <w:rtl/>
        </w:rPr>
        <w:t>לפיכך, ובמבט ממעוף הציפור על ההליך בבית המשפט קמא ועל השתלשלות העניינים בו ובהינתן טענות הצדדים ואופי המחלוקת ביניהם, לא מצאתי כי בית המשפט לא עמד בחובת ההנמקה המוטלת עליו.</w:t>
      </w:r>
    </w:p>
    <w:p w:rsidR="00981F57" w:rsidRDefault="00981F57" w:rsidP="00981F57">
      <w:pPr>
        <w:pStyle w:val="1"/>
        <w:spacing w:line="360" w:lineRule="auto"/>
        <w:jc w:val="both"/>
        <w:rPr>
          <w:rFonts w:ascii="David" w:hAnsi="David"/>
          <w:noProof w:val="0"/>
          <w:rtl/>
        </w:rPr>
      </w:pPr>
    </w:p>
    <w:p w:rsidR="00981F57" w:rsidRDefault="00981F57" w:rsidP="00981F57">
      <w:pPr>
        <w:spacing w:after="160" w:line="360" w:lineRule="auto"/>
        <w:ind w:left="720"/>
        <w:contextualSpacing/>
        <w:jc w:val="both"/>
        <w:rPr>
          <w:rFonts w:ascii="David" w:hAnsi="David"/>
          <w:noProof w:val="0"/>
          <w:rtl/>
        </w:rPr>
      </w:pPr>
      <w:r>
        <w:rPr>
          <w:rFonts w:ascii="David" w:hAnsi="David"/>
          <w:noProof w:val="0"/>
          <w:rtl/>
        </w:rPr>
        <w:t xml:space="preserve">בהקשר זה ראוי להוסיף, כי </w:t>
      </w:r>
      <w:r>
        <w:rPr>
          <w:noProof w:val="0"/>
          <w:rtl/>
        </w:rPr>
        <w:t xml:space="preserve">אף שחובת ההנמקה היא יסוד מוסד בשיטתנו, היקף ההנמקה הנדרש אינו אחיד, והוא נגזר מאופי ההחלטה הקונקרטית ומיתר נסיבות העניין.  </w:t>
      </w:r>
    </w:p>
    <w:p w:rsidR="00981F57" w:rsidRDefault="00981F57" w:rsidP="00981F57">
      <w:pPr>
        <w:spacing w:after="160" w:line="360" w:lineRule="auto"/>
        <w:ind w:left="720"/>
        <w:contextualSpacing/>
        <w:jc w:val="both"/>
        <w:rPr>
          <w:rFonts w:ascii="David" w:hAnsi="David"/>
          <w:noProof w:val="0"/>
        </w:rPr>
      </w:pPr>
      <w:r>
        <w:rPr>
          <w:noProof w:val="0"/>
          <w:rtl/>
        </w:rPr>
        <w:t>הנה כי כן, בבוא ערכאת הערעור לבחון האם עמדה הערכאה הדיונית בחובת ההנמקה המוטלת עליה אם לאו, עליה ליתן דעתה הן לטיב ההחלטה והן לרקע שהביא את בית המשפט לקבלה (</w:t>
      </w:r>
      <w:hyperlink r:id="rId12" w:history="1">
        <w:r w:rsidRPr="008040F3">
          <w:rPr>
            <w:rStyle w:val="Hyperlink"/>
            <w:noProof w:val="0"/>
            <w:color w:val="auto"/>
            <w:u w:val="none"/>
            <w:rtl/>
          </w:rPr>
          <w:t>רע"א 3337/12</w:t>
        </w:r>
      </w:hyperlink>
      <w:r w:rsidRPr="008040F3">
        <w:rPr>
          <w:noProof w:val="0"/>
          <w:rtl/>
        </w:rPr>
        <w:t xml:space="preserve"> </w:t>
      </w:r>
      <w:r w:rsidRPr="008040F3">
        <w:rPr>
          <w:rFonts w:hint="cs"/>
          <w:b/>
          <w:bCs/>
          <w:noProof w:val="0"/>
          <w:rtl/>
        </w:rPr>
        <w:t>ל</w:t>
      </w:r>
      <w:r>
        <w:rPr>
          <w:rFonts w:hint="cs"/>
          <w:b/>
          <w:bCs/>
          <w:noProof w:val="0"/>
          <w:rtl/>
        </w:rPr>
        <w:t xml:space="preserve">יברפול נכסים והשקעות בע"מ נ' עידן פרוביזור אחזקות בע"מ ואח', </w:t>
      </w:r>
      <w:r>
        <w:rPr>
          <w:rFonts w:hint="cs"/>
          <w:noProof w:val="0"/>
          <w:rtl/>
        </w:rPr>
        <w:t xml:space="preserve">פורסם במאגרים האלקטרוניים).   </w:t>
      </w:r>
    </w:p>
    <w:p w:rsidR="00981F57" w:rsidRDefault="00981F57" w:rsidP="00981F57">
      <w:pPr>
        <w:pStyle w:val="1"/>
        <w:spacing w:line="360" w:lineRule="auto"/>
        <w:jc w:val="both"/>
        <w:rPr>
          <w:rFonts w:ascii="David" w:hAnsi="David"/>
          <w:noProof w:val="0"/>
        </w:rPr>
      </w:pPr>
      <w:r>
        <w:rPr>
          <w:rFonts w:ascii="David" w:hAnsi="David"/>
          <w:noProof w:val="0"/>
          <w:rtl/>
        </w:rPr>
        <w:t xml:space="preserve">מעבר לכך, כבר נקבע לא אחת ע"י בית המשפט העליון, כי במסגרת ההנמקה של פסק דין היוצא תחת ידו, בית המשפט אינו נדרש "להתייחס לכל תג ותג מטענותיהם של בעלי הדין" (השוו: ע"א 84/80 </w:t>
      </w:r>
      <w:r>
        <w:rPr>
          <w:rFonts w:ascii="David" w:hAnsi="David"/>
          <w:b/>
          <w:bCs/>
          <w:noProof w:val="0"/>
          <w:rtl/>
        </w:rPr>
        <w:t xml:space="preserve">קאסם נ' קאסם, </w:t>
      </w:r>
      <w:r>
        <w:rPr>
          <w:rFonts w:ascii="David" w:hAnsi="David"/>
          <w:noProof w:val="0"/>
          <w:rtl/>
        </w:rPr>
        <w:t xml:space="preserve">פ"ד לז(3)60, 70; רע"א 318/10 </w:t>
      </w:r>
      <w:r>
        <w:rPr>
          <w:rFonts w:ascii="David" w:hAnsi="David"/>
          <w:b/>
          <w:bCs/>
          <w:noProof w:val="0"/>
          <w:rtl/>
        </w:rPr>
        <w:t xml:space="preserve">לוי נ' אורן, </w:t>
      </w:r>
      <w:r>
        <w:rPr>
          <w:rFonts w:ascii="David" w:hAnsi="David"/>
          <w:noProof w:val="0"/>
          <w:rtl/>
        </w:rPr>
        <w:t>פורסם במאגרים האלקטרוניים).</w:t>
      </w:r>
    </w:p>
    <w:p w:rsidR="00981F57" w:rsidRDefault="00981F57" w:rsidP="00981F57">
      <w:pPr>
        <w:pStyle w:val="1"/>
        <w:spacing w:line="360" w:lineRule="auto"/>
        <w:jc w:val="both"/>
        <w:rPr>
          <w:rFonts w:ascii="David" w:hAnsi="David"/>
          <w:noProof w:val="0"/>
          <w:rtl/>
        </w:rPr>
      </w:pPr>
      <w:r>
        <w:rPr>
          <w:rFonts w:ascii="David" w:hAnsi="David"/>
          <w:noProof w:val="0"/>
          <w:rtl/>
        </w:rPr>
        <w:t xml:space="preserve">אם כך הדבר לגבי פסקי דין, הרי שעל אחת כמה וכמה יפה כוחו לגבי החלטות ביניים. </w:t>
      </w:r>
    </w:p>
    <w:p w:rsidR="00981F57" w:rsidRDefault="00981F57" w:rsidP="00981F57">
      <w:pPr>
        <w:pStyle w:val="1"/>
        <w:spacing w:line="360" w:lineRule="auto"/>
        <w:jc w:val="both"/>
        <w:rPr>
          <w:rFonts w:ascii="David" w:hAnsi="David"/>
          <w:noProof w:val="0"/>
          <w:rtl/>
        </w:rPr>
      </w:pPr>
      <w:r>
        <w:rPr>
          <w:rFonts w:ascii="David" w:hAnsi="David"/>
          <w:noProof w:val="0"/>
          <w:rtl/>
        </w:rPr>
        <w:t xml:space="preserve"> </w:t>
      </w:r>
    </w:p>
    <w:p w:rsidR="00981F57" w:rsidRDefault="00981F57" w:rsidP="00981F57">
      <w:pPr>
        <w:pStyle w:val="a3"/>
        <w:numPr>
          <w:ilvl w:val="0"/>
          <w:numId w:val="1"/>
        </w:numPr>
        <w:spacing w:line="360" w:lineRule="auto"/>
        <w:jc w:val="both"/>
        <w:rPr>
          <w:rFonts w:ascii="Arial" w:hAnsi="Arial"/>
          <w:noProof w:val="0"/>
          <w:rtl/>
        </w:rPr>
      </w:pPr>
      <w:r>
        <w:rPr>
          <w:rFonts w:ascii="Arial" w:hAnsi="Arial"/>
          <w:noProof w:val="0"/>
          <w:rtl/>
        </w:rPr>
        <w:t xml:space="preserve">על יסוד כל האמור לעיל, לא מצאתי מקום להתערב בהחלטת בית המשפט קמא.  </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t>משבאתי לכלל מסקנה זו – דין בקשת רשות הערעור להידחות.</w:t>
      </w:r>
    </w:p>
    <w:p w:rsidR="00981F57" w:rsidRDefault="00981F57" w:rsidP="00981F57">
      <w:pPr>
        <w:pStyle w:val="a3"/>
        <w:rPr>
          <w:rFonts w:ascii="Arial" w:hAnsi="Arial"/>
          <w:noProof w:val="0"/>
          <w:rtl/>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t xml:space="preserve">נוכח התוצאה אליה הגעתי, אני מחייבת המבקשת לשאת בהוצאות המשיב בסך של 3,500 ₪ מתוך העירבון שהופקד על ידה. היתרה על פירותיה תוחזר לידיה. </w:t>
      </w:r>
    </w:p>
    <w:p w:rsidR="00981F57" w:rsidRDefault="00981F57" w:rsidP="00981F57">
      <w:pPr>
        <w:jc w:val="both"/>
        <w:rPr>
          <w:rFonts w:ascii="David" w:hAnsi="David"/>
          <w:noProof w:val="0"/>
          <w:rtl/>
        </w:rPr>
      </w:pPr>
    </w:p>
    <w:p w:rsidR="00981F57" w:rsidRDefault="00981F57" w:rsidP="00981F57">
      <w:pPr>
        <w:pStyle w:val="a3"/>
        <w:numPr>
          <w:ilvl w:val="0"/>
          <w:numId w:val="1"/>
        </w:numPr>
        <w:spacing w:line="360" w:lineRule="auto"/>
        <w:jc w:val="both"/>
        <w:rPr>
          <w:rFonts w:ascii="Arial" w:hAnsi="Arial"/>
          <w:noProof w:val="0"/>
        </w:rPr>
      </w:pPr>
      <w:r>
        <w:rPr>
          <w:rFonts w:ascii="Arial" w:hAnsi="Arial"/>
          <w:noProof w:val="0"/>
          <w:rtl/>
        </w:rPr>
        <w:t xml:space="preserve">המזכירות תמציא ההחלטה לצדדים ותסגור את התיק. </w:t>
      </w:r>
    </w:p>
    <w:p w:rsidR="00981F57" w:rsidRDefault="00981F57" w:rsidP="00981F57">
      <w:pPr>
        <w:pStyle w:val="a3"/>
        <w:rPr>
          <w:rFonts w:ascii="Arial" w:hAnsi="Arial"/>
          <w:noProof w:val="0"/>
        </w:rPr>
      </w:pPr>
    </w:p>
    <w:p w:rsidR="00981F57" w:rsidRDefault="00981F57" w:rsidP="00981F57">
      <w:pPr>
        <w:pStyle w:val="a3"/>
        <w:numPr>
          <w:ilvl w:val="0"/>
          <w:numId w:val="1"/>
        </w:numPr>
        <w:spacing w:line="360" w:lineRule="auto"/>
        <w:jc w:val="both"/>
        <w:rPr>
          <w:rFonts w:ascii="David" w:hAnsi="David"/>
          <w:noProof w:val="0"/>
        </w:rPr>
      </w:pPr>
      <w:r>
        <w:rPr>
          <w:rFonts w:ascii="David" w:hAnsi="David"/>
          <w:noProof w:val="0"/>
          <w:rtl/>
        </w:rPr>
        <w:t xml:space="preserve">ההחלטה ניתנת לפרסום בהיעדר שמות הצדדים ופרטים מזהים נוספים. </w:t>
      </w:r>
    </w:p>
    <w:p w:rsidR="00981F57" w:rsidRDefault="00981F57" w:rsidP="00981F57">
      <w:pPr>
        <w:spacing w:line="360" w:lineRule="auto"/>
        <w:jc w:val="both"/>
        <w:rPr>
          <w:rFonts w:ascii="Arial" w:hAnsi="Arial"/>
          <w:noProof w:val="0"/>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א' כסלו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נובמבר 2023</w:t>
          </w:r>
        </w:sdtContent>
      </w:sdt>
      <w:r>
        <w:rPr>
          <w:rFonts w:ascii="Arial" w:hAnsi="Arial"/>
          <w:noProof w:val="0"/>
          <w:rtl/>
        </w:rPr>
        <w:t>, בהעדר הצדדים.</w:t>
      </w:r>
    </w:p>
    <w:p w:rsidR="00981F57" w:rsidRDefault="00F74423" w:rsidP="00981F57">
      <w:pPr>
        <w:tabs>
          <w:tab w:val="left" w:pos="2553"/>
        </w:tabs>
        <w:ind w:left="5040"/>
        <w:rPr>
          <w:rtl/>
        </w:rPr>
      </w:pPr>
      <w:sdt>
        <w:sdtPr>
          <w:rPr>
            <w:rtl/>
          </w:rPr>
          <w:alias w:val="2045"/>
          <w:tag w:val="2045"/>
          <w:id w:val="740689340"/>
          <w:placeholder>
            <w:docPart w:val="CC5029EEF56B4DAEB49AAFF3EFABD0DF"/>
          </w:placeholder>
          <w:showingPlcHdr/>
          <w:text w:multiLine="1"/>
        </w:sdtPr>
        <w:sdtEndPr/>
        <w:sdtContent>
          <w:r w:rsidR="00981F57">
            <w:rPr>
              <w:rtl/>
            </w:rPr>
            <w:t xml:space="preserve">     </w:t>
          </w:r>
        </w:sdtContent>
      </w:sdt>
    </w:p>
    <w:p w:rsidR="00981F57" w:rsidRDefault="00981F57" w:rsidP="00981F57">
      <w:pPr>
        <w:tabs>
          <w:tab w:val="left" w:pos="2553"/>
        </w:tabs>
        <w:rPr>
          <w:rtl/>
        </w:rPr>
      </w:pPr>
      <w:r>
        <w:rPr>
          <w:rtl/>
        </w:rPr>
        <w:tab/>
      </w:r>
      <w:r>
        <w:rPr>
          <w:rtl/>
        </w:rPr>
        <w:tab/>
      </w:r>
      <w:r>
        <w:rPr>
          <w:rtl/>
        </w:rPr>
        <w:tab/>
      </w:r>
      <w:r>
        <w:rPr>
          <w:rtl/>
        </w:rPr>
        <w:tab/>
        <w:t xml:space="preserve">        </w:t>
      </w:r>
      <w:sdt>
        <w:sdtPr>
          <w:rPr>
            <w:rtl/>
          </w:rPr>
          <w:alias w:val="MergeField"/>
          <w:tag w:val="1237"/>
          <w:id w:val="-936593169"/>
        </w:sdtPr>
        <w:sdtEndPr/>
        <w:sdtContent>
          <w:r>
            <w:drawing>
              <wp:inline distT="0" distB="0" distL="0" distR="0">
                <wp:extent cx="1666875" cy="10477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66875" cy="1047750"/>
                        </a:xfrm>
                        <a:prstGeom prst="rect">
                          <a:avLst/>
                        </a:prstGeom>
                        <a:noFill/>
                        <a:ln>
                          <a:noFill/>
                        </a:ln>
                      </pic:spPr>
                    </pic:pic>
                  </a:graphicData>
                </a:graphic>
              </wp:inline>
            </w:drawing>
          </w:r>
        </w:sdtContent>
      </w:sdt>
    </w:p>
    <w:p w:rsidR="00981F57" w:rsidRDefault="00981F57" w:rsidP="00981F57">
      <w:pPr>
        <w:tabs>
          <w:tab w:val="left" w:pos="2553"/>
        </w:tabs>
        <w:rPr>
          <w:rFonts w:ascii="Arial" w:hAnsi="Arial"/>
          <w:noProof w:val="0"/>
        </w:rPr>
      </w:pPr>
    </w:p>
    <w:p w:rsidR="000827AF" w:rsidRDefault="000827AF"/>
    <w:sectPr w:rsidR="000827AF" w:rsidSect="00897C85">
      <w:footerReference w:type="default" r:id="rId14"/>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0F3" w:rsidRDefault="008040F3" w:rsidP="008040F3">
      <w:r>
        <w:separator/>
      </w:r>
    </w:p>
  </w:endnote>
  <w:endnote w:type="continuationSeparator" w:id="0">
    <w:p w:rsidR="008040F3" w:rsidRDefault="008040F3" w:rsidP="00804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35332401"/>
      <w:docPartObj>
        <w:docPartGallery w:val="Page Numbers (Bottom of Page)"/>
        <w:docPartUnique/>
      </w:docPartObj>
    </w:sdtPr>
    <w:sdtEndPr/>
    <w:sdtContent>
      <w:p w:rsidR="008040F3" w:rsidRDefault="008040F3">
        <w:pPr>
          <w:pStyle w:val="a7"/>
          <w:jc w:val="center"/>
          <w:rPr>
            <w:rtl/>
            <w:cs/>
          </w:rPr>
        </w:pPr>
        <w:r>
          <w:fldChar w:fldCharType="begin"/>
        </w:r>
        <w:r>
          <w:rPr>
            <w:rtl/>
            <w:cs/>
          </w:rPr>
          <w:instrText xml:space="preserve">PAGE   </w:instrText>
        </w:r>
        <w:r>
          <w:rPr>
            <w:cs/>
          </w:rPr>
          <w:instrText>\</w:instrText>
        </w:r>
        <w:r>
          <w:rPr>
            <w:rtl/>
            <w:cs/>
          </w:rPr>
          <w:instrText xml:space="preserve">* </w:instrText>
        </w:r>
        <w:r>
          <w:rPr>
            <w:cs/>
          </w:rPr>
          <w:instrText>MERGEFORMAT</w:instrText>
        </w:r>
        <w:r>
          <w:fldChar w:fldCharType="separate"/>
        </w:r>
        <w:r w:rsidR="00F74423" w:rsidRPr="00F74423">
          <w:rPr>
            <w:rtl/>
            <w:lang w:val="he-IL"/>
          </w:rPr>
          <w:t>1</w:t>
        </w:r>
        <w:r>
          <w:fldChar w:fldCharType="end"/>
        </w:r>
      </w:p>
    </w:sdtContent>
  </w:sdt>
  <w:p w:rsidR="008040F3" w:rsidRDefault="008040F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0F3" w:rsidRDefault="008040F3" w:rsidP="008040F3">
      <w:r>
        <w:separator/>
      </w:r>
    </w:p>
  </w:footnote>
  <w:footnote w:type="continuationSeparator" w:id="0">
    <w:p w:rsidR="008040F3" w:rsidRDefault="008040F3" w:rsidP="00804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2A3D24"/>
    <w:multiLevelType w:val="hybridMultilevel"/>
    <w:tmpl w:val="4260D0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F57"/>
    <w:rsid w:val="000827AF"/>
    <w:rsid w:val="008040F3"/>
    <w:rsid w:val="00897C85"/>
    <w:rsid w:val="00981F57"/>
    <w:rsid w:val="00F7442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94F6DE-A501-447A-945B-7B44A2055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F57"/>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semiHidden/>
    <w:unhideWhenUsed/>
    <w:rsid w:val="00981F57"/>
    <w:rPr>
      <w:color w:val="0000FF"/>
      <w:u w:val="single"/>
    </w:rPr>
  </w:style>
  <w:style w:type="paragraph" w:styleId="a3">
    <w:name w:val="List Paragraph"/>
    <w:basedOn w:val="a"/>
    <w:uiPriority w:val="34"/>
    <w:qFormat/>
    <w:rsid w:val="00981F57"/>
    <w:pPr>
      <w:ind w:left="720"/>
      <w:contextualSpacing/>
    </w:pPr>
  </w:style>
  <w:style w:type="paragraph" w:customStyle="1" w:styleId="1">
    <w:name w:val="פיסקת רשימה1"/>
    <w:basedOn w:val="a"/>
    <w:qFormat/>
    <w:rsid w:val="00981F57"/>
    <w:pPr>
      <w:ind w:left="720"/>
      <w:contextualSpacing/>
    </w:pPr>
  </w:style>
  <w:style w:type="table" w:styleId="a4">
    <w:name w:val="Table Grid"/>
    <w:basedOn w:val="a1"/>
    <w:rsid w:val="00981F57"/>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8040F3"/>
    <w:pPr>
      <w:tabs>
        <w:tab w:val="center" w:pos="4153"/>
        <w:tab w:val="right" w:pos="8306"/>
      </w:tabs>
    </w:pPr>
  </w:style>
  <w:style w:type="character" w:customStyle="1" w:styleId="a6">
    <w:name w:val="כותרת עליונה תו"/>
    <w:basedOn w:val="a0"/>
    <w:link w:val="a5"/>
    <w:uiPriority w:val="99"/>
    <w:rsid w:val="008040F3"/>
    <w:rPr>
      <w:rFonts w:ascii="Times New Roman" w:eastAsia="Times New Roman" w:hAnsi="Times New Roman" w:cs="David"/>
      <w:noProof/>
      <w:sz w:val="24"/>
      <w:szCs w:val="24"/>
    </w:rPr>
  </w:style>
  <w:style w:type="paragraph" w:styleId="a7">
    <w:name w:val="footer"/>
    <w:basedOn w:val="a"/>
    <w:link w:val="a8"/>
    <w:uiPriority w:val="99"/>
    <w:unhideWhenUsed/>
    <w:rsid w:val="008040F3"/>
    <w:pPr>
      <w:tabs>
        <w:tab w:val="center" w:pos="4153"/>
        <w:tab w:val="right" w:pos="8306"/>
      </w:tabs>
    </w:pPr>
  </w:style>
  <w:style w:type="character" w:customStyle="1" w:styleId="a8">
    <w:name w:val="כותרת תחתונה תו"/>
    <w:basedOn w:val="a0"/>
    <w:link w:val="a7"/>
    <w:uiPriority w:val="99"/>
    <w:rsid w:val="008040F3"/>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286390">
      <w:bodyDiv w:val="1"/>
      <w:marLeft w:val="0"/>
      <w:marRight w:val="0"/>
      <w:marTop w:val="0"/>
      <w:marBottom w:val="0"/>
      <w:divBdr>
        <w:top w:val="none" w:sz="0" w:space="0" w:color="auto"/>
        <w:left w:val="none" w:sz="0" w:space="0" w:color="auto"/>
        <w:bottom w:val="none" w:sz="0" w:space="0" w:color="auto"/>
        <w:right w:val="none" w:sz="0" w:space="0" w:color="auto"/>
      </w:divBdr>
    </w:div>
    <w:div w:id="182373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2138/4"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nevo.co.il/case/558335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6135079"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nevo.co.il/law/72138/6" TargetMode="External"/><Relationship Id="rId4" Type="http://schemas.openxmlformats.org/officeDocument/2006/relationships/webSettings" Target="webSettings.xml"/><Relationship Id="rId9" Type="http://schemas.openxmlformats.org/officeDocument/2006/relationships/hyperlink" Target="http://www.nevo.co.il/law/72138/5"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D495526EEB04FE598ADAE96FA66A710"/>
        <w:category>
          <w:name w:val="כללי"/>
          <w:gallery w:val="placeholder"/>
        </w:category>
        <w:types>
          <w:type w:val="bbPlcHdr"/>
        </w:types>
        <w:behaviors>
          <w:behavior w:val="content"/>
        </w:behaviors>
        <w:guid w:val="{8E19A15D-8CBC-49C9-B5B4-61A526D250DB}"/>
      </w:docPartPr>
      <w:docPartBody>
        <w:p w:rsidR="0000437B" w:rsidRDefault="00F531D2" w:rsidP="00F531D2">
          <w:pPr>
            <w:pStyle w:val="8D495526EEB04FE598ADAE96FA66A710"/>
          </w:pPr>
          <w:r>
            <w:rPr>
              <w:rFonts w:ascii="Arial" w:hAnsi="Arial"/>
              <w:b/>
              <w:bCs/>
              <w:sz w:val="26"/>
              <w:szCs w:val="26"/>
              <w:rtl/>
            </w:rPr>
            <w:t>שם צד א' ללא שם של חסוי</w:t>
          </w:r>
        </w:p>
      </w:docPartBody>
    </w:docPart>
    <w:docPart>
      <w:docPartPr>
        <w:name w:val="4CD01BB1FCF9434C81C6D46800CEFD1C"/>
        <w:category>
          <w:name w:val="כללי"/>
          <w:gallery w:val="placeholder"/>
        </w:category>
        <w:types>
          <w:type w:val="bbPlcHdr"/>
        </w:types>
        <w:behaviors>
          <w:behavior w:val="content"/>
        </w:behaviors>
        <w:guid w:val="{2AF712F4-ED60-4F53-BC1D-C0795CF21E30}"/>
      </w:docPartPr>
      <w:docPartBody>
        <w:p w:rsidR="0000437B" w:rsidRDefault="00F531D2" w:rsidP="00F531D2">
          <w:pPr>
            <w:pStyle w:val="4CD01BB1FCF9434C81C6D46800CEFD1C"/>
          </w:pPr>
          <w:r>
            <w:rPr>
              <w:rFonts w:ascii="Arial" w:hAnsi="Arial"/>
              <w:b/>
              <w:bCs/>
              <w:sz w:val="26"/>
              <w:szCs w:val="26"/>
              <w:rtl/>
            </w:rPr>
            <w:t>שם צד ב' ללא שם של חסוי</w:t>
          </w:r>
        </w:p>
      </w:docPartBody>
    </w:docPart>
    <w:docPart>
      <w:docPartPr>
        <w:name w:val="CC5029EEF56B4DAEB49AAFF3EFABD0DF"/>
        <w:category>
          <w:name w:val="כללי"/>
          <w:gallery w:val="placeholder"/>
        </w:category>
        <w:types>
          <w:type w:val="bbPlcHdr"/>
        </w:types>
        <w:behaviors>
          <w:behavior w:val="content"/>
        </w:behaviors>
        <w:guid w:val="{D9F09AA1-7C4A-4675-A6C1-D71B22F0F98C}"/>
      </w:docPartPr>
      <w:docPartBody>
        <w:p w:rsidR="0000437B" w:rsidRDefault="00F531D2" w:rsidP="00F531D2">
          <w:pPr>
            <w:pStyle w:val="CC5029EEF56B4DAEB49AAFF3EFABD0DF"/>
          </w:pPr>
          <w:r>
            <w:rPr>
              <w:rtl/>
            </w:rPr>
            <w:t xml:space="preserve">     </w:t>
          </w:r>
        </w:p>
      </w:docPartBody>
    </w:docPart>
    <w:docPart>
      <w:docPartPr>
        <w:name w:val="4799737DCE474619B2593AC25DC5F346"/>
        <w:category>
          <w:name w:val="כללי"/>
          <w:gallery w:val="placeholder"/>
        </w:category>
        <w:types>
          <w:type w:val="bbPlcHdr"/>
        </w:types>
        <w:behaviors>
          <w:behavior w:val="content"/>
        </w:behaviors>
        <w:guid w:val="{D56A3F76-CACF-4E96-AFE8-4B352384A649}"/>
      </w:docPartPr>
      <w:docPartBody>
        <w:p w:rsidR="0000437B" w:rsidRDefault="00F531D2" w:rsidP="00F531D2">
          <w:pPr>
            <w:pStyle w:val="4799737DCE474619B2593AC25DC5F346"/>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1D2"/>
    <w:rsid w:val="0000437B"/>
    <w:rsid w:val="00F531D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D495526EEB04FE598ADAE96FA66A710">
    <w:name w:val="8D495526EEB04FE598ADAE96FA66A710"/>
    <w:rsid w:val="00F531D2"/>
    <w:pPr>
      <w:bidi/>
    </w:pPr>
  </w:style>
  <w:style w:type="paragraph" w:customStyle="1" w:styleId="4CD01BB1FCF9434C81C6D46800CEFD1C">
    <w:name w:val="4CD01BB1FCF9434C81C6D46800CEFD1C"/>
    <w:rsid w:val="00F531D2"/>
    <w:pPr>
      <w:bidi/>
    </w:pPr>
  </w:style>
  <w:style w:type="paragraph" w:customStyle="1" w:styleId="CC5029EEF56B4DAEB49AAFF3EFABD0DF">
    <w:name w:val="CC5029EEF56B4DAEB49AAFF3EFABD0DF"/>
    <w:rsid w:val="00F531D2"/>
    <w:pPr>
      <w:bidi/>
    </w:pPr>
  </w:style>
  <w:style w:type="paragraph" w:customStyle="1" w:styleId="4799737DCE474619B2593AC25DC5F346">
    <w:name w:val="4799737DCE474619B2593AC25DC5F346"/>
    <w:rsid w:val="00F531D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3092</Words>
  <Characters>15464</Characters>
  <Application>Microsoft Office Word</Application>
  <DocSecurity>4</DocSecurity>
  <Lines>128</Lines>
  <Paragraphs>37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גרמאו מנגיסטו</cp:lastModifiedBy>
  <cp:revision>2</cp:revision>
  <dcterms:created xsi:type="dcterms:W3CDTF">2023-11-15T13:49:00Z</dcterms:created>
  <dcterms:modified xsi:type="dcterms:W3CDTF">2023-11-15T13:49:00Z</dcterms:modified>
</cp:coreProperties>
</file>